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7D10" w:rsidRDefault="00004D0D">
      <w:pPr>
        <w:spacing w:after="20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Executive Summary: Systemic Attrition Controls &amp; Portfolio Stabilization Framework</w:t>
      </w:r>
    </w:p>
    <w:p w:rsidR="004A7D10" w:rsidRDefault="00004D0D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Government Financial Stakeholders, Macro-Prudential Regulators, and Bank Executive Leadership</w:t>
      </w:r>
    </w:p>
    <w:p w:rsidR="004A7D10" w:rsidRDefault="00004D0D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Deploying Live Analytics Framework for Portfolio Stabilization and Churn Risk Mitigation</w:t>
      </w:r>
    </w:p>
    <w:p w:rsidR="004A7D10" w:rsidRDefault="00004D0D">
      <w:pPr>
        <w:spacing w:after="20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Executive Overview</w:t>
      </w:r>
    </w:p>
    <w:p w:rsidR="004A7D10" w:rsidRDefault="00004D0D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risks to the stability of liquid capital and availability of consumer credit from uncontrolled customer attrition in systemically vital retail </w:t>
      </w:r>
      <w:r>
        <w:rPr>
          <w:rFonts w:ascii="Times New Roman" w:eastAsia="Times New Roman" w:hAnsi="Times New Roman" w:cs="Times New Roman"/>
        </w:rPr>
        <w:t>financial institutions are apparent. This summary outlines the successful implementation of a sophisticated behavioural analytics panel for the evaluation of a regional banking portfolio ($N = 10,000$). This has allowed us to identify structural operationa</w:t>
      </w:r>
      <w:r>
        <w:rPr>
          <w:rFonts w:ascii="Times New Roman" w:eastAsia="Times New Roman" w:hAnsi="Times New Roman" w:cs="Times New Roman"/>
        </w:rPr>
        <w:t>l vulnerabilities by combining backend feature engineering with live streamlit interface panels, and to make two clear data driven interventions to protect the core assets of the bank.</w:t>
      </w:r>
    </w:p>
    <w:p w:rsidR="004A7D10" w:rsidRDefault="00004D0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dmv8bbznngp" w:colFirst="0" w:colLast="0"/>
      <w:bookmarkEnd w:id="1"/>
      <w:r>
        <w:rPr>
          <w:b/>
          <w:bCs/>
          <w:color w:val="000000"/>
          <w:sz w:val="26"/>
          <w:szCs w:val="26"/>
        </w:rPr>
        <w:t>Key Performance Benchmarks Established</w:t>
      </w:r>
    </w:p>
    <w:tbl>
      <w:tblPr>
        <w:tblStyle w:val="a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15"/>
        <w:gridCol w:w="2940"/>
        <w:gridCol w:w="2940"/>
      </w:tblGrid>
      <w:tr w:rsidR="004A7D10">
        <w:trPr>
          <w:trHeight w:val="885"/>
        </w:trPr>
        <w:tc>
          <w:tcPr>
            <w:tcW w:w="3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A7D10" w:rsidRDefault="00004D0D">
            <w:pPr>
              <w:pStyle w:val="Heading3"/>
              <w:keepNext w:val="0"/>
              <w:keepLines w:val="0"/>
              <w:spacing w:before="280"/>
              <w:jc w:val="center"/>
              <w:rPr>
                <w:b/>
                <w:bCs/>
                <w:color w:val="000000"/>
                <w:sz w:val="25"/>
                <w:szCs w:val="25"/>
              </w:rPr>
            </w:pPr>
            <w:bookmarkStart w:id="2" w:name="_xgtxhf9q0axi" w:colFirst="0" w:colLast="0"/>
            <w:bookmarkEnd w:id="2"/>
            <w:r>
              <w:rPr>
                <w:b/>
                <w:bCs/>
                <w:color w:val="000000"/>
                <w:sz w:val="25"/>
                <w:szCs w:val="25"/>
              </w:rPr>
              <w:t>Strategic Indicator</w:t>
            </w:r>
          </w:p>
        </w:tc>
        <w:tc>
          <w:tcPr>
            <w:tcW w:w="29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A7D10" w:rsidRDefault="00004D0D">
            <w:pPr>
              <w:pStyle w:val="Heading3"/>
              <w:keepNext w:val="0"/>
              <w:keepLines w:val="0"/>
              <w:spacing w:before="280"/>
              <w:jc w:val="center"/>
              <w:rPr>
                <w:b/>
                <w:bCs/>
                <w:color w:val="000000"/>
                <w:sz w:val="25"/>
                <w:szCs w:val="25"/>
              </w:rPr>
            </w:pPr>
            <w:bookmarkStart w:id="3" w:name="_kp2f1cb4ko9h" w:colFirst="0" w:colLast="0"/>
            <w:bookmarkEnd w:id="3"/>
            <w:r>
              <w:rPr>
                <w:b/>
                <w:bCs/>
                <w:color w:val="000000"/>
                <w:sz w:val="25"/>
                <w:szCs w:val="25"/>
              </w:rPr>
              <w:t xml:space="preserve">Operational </w:t>
            </w:r>
            <w:r>
              <w:rPr>
                <w:b/>
                <w:bCs/>
                <w:color w:val="000000"/>
                <w:sz w:val="25"/>
                <w:szCs w:val="25"/>
              </w:rPr>
              <w:t>Definition</w:t>
            </w:r>
          </w:p>
        </w:tc>
        <w:tc>
          <w:tcPr>
            <w:tcW w:w="29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A7D10" w:rsidRDefault="00004D0D">
            <w:pPr>
              <w:pStyle w:val="Heading3"/>
              <w:keepNext w:val="0"/>
              <w:keepLines w:val="0"/>
              <w:spacing w:before="280"/>
              <w:jc w:val="center"/>
              <w:rPr>
                <w:b/>
                <w:bCs/>
                <w:color w:val="000000"/>
                <w:sz w:val="25"/>
                <w:szCs w:val="25"/>
              </w:rPr>
            </w:pPr>
            <w:bookmarkStart w:id="4" w:name="_pf92za2bb5fh" w:colFirst="0" w:colLast="0"/>
            <w:bookmarkEnd w:id="4"/>
            <w:r>
              <w:rPr>
                <w:b/>
                <w:bCs/>
                <w:color w:val="000000"/>
                <w:sz w:val="25"/>
                <w:szCs w:val="25"/>
              </w:rPr>
              <w:t>Metric Findings &amp; Impact</w:t>
            </w:r>
          </w:p>
        </w:tc>
      </w:tr>
      <w:tr w:rsidR="004A7D10">
        <w:trPr>
          <w:trHeight w:val="1290"/>
        </w:trPr>
        <w:tc>
          <w:tcPr>
            <w:tcW w:w="30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A7D10" w:rsidRDefault="00004D0D">
            <w:pPr>
              <w:pStyle w:val="Heading3"/>
              <w:keepNext w:val="0"/>
              <w:keepLines w:val="0"/>
              <w:spacing w:before="280"/>
              <w:jc w:val="center"/>
              <w:rPr>
                <w:b/>
                <w:bCs/>
                <w:color w:val="000000"/>
                <w:sz w:val="25"/>
                <w:szCs w:val="25"/>
              </w:rPr>
            </w:pPr>
            <w:bookmarkStart w:id="5" w:name="_b2nl44gcshv6" w:colFirst="0" w:colLast="0"/>
            <w:bookmarkEnd w:id="5"/>
            <w:r>
              <w:rPr>
                <w:b/>
                <w:bCs/>
                <w:color w:val="000000"/>
                <w:sz w:val="25"/>
                <w:szCs w:val="25"/>
              </w:rPr>
              <w:t>Engagement Retention Ratio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A7D10" w:rsidRDefault="00004D0D">
            <w:pPr>
              <w:pStyle w:val="Heading3"/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/>
              <w:jc w:val="center"/>
              <w:rPr>
                <w:color w:val="000000"/>
                <w:sz w:val="22"/>
                <w:szCs w:val="22"/>
              </w:rPr>
            </w:pPr>
            <w:bookmarkStart w:id="6" w:name="_xw4egfnlc4qq" w:colFirst="0" w:colLast="0"/>
            <w:bookmarkEnd w:id="6"/>
            <w:r>
              <w:rPr>
                <w:color w:val="000000"/>
                <w:sz w:val="22"/>
                <w:szCs w:val="22"/>
              </w:rPr>
              <w:t>Active Member Churn vs. Inactive Member Churn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A7D10" w:rsidRDefault="00004D0D">
            <w:pPr>
              <w:pStyle w:val="Heading3"/>
              <w:keepNext w:val="0"/>
              <w:keepLines w:val="0"/>
              <w:spacing w:before="280"/>
              <w:jc w:val="center"/>
              <w:rPr>
                <w:color w:val="000000"/>
                <w:sz w:val="22"/>
                <w:szCs w:val="22"/>
              </w:rPr>
            </w:pPr>
            <w:bookmarkStart w:id="7" w:name="_z8lfo8e9swru" w:colFirst="0" w:colLast="0"/>
            <w:bookmarkEnd w:id="7"/>
            <w:r>
              <w:rPr>
                <w:color w:val="000000"/>
                <w:sz w:val="22"/>
                <w:szCs w:val="22"/>
              </w:rPr>
              <w:t>Proves that active account usage cuts baseline attrition in half across all core demographics.</w:t>
            </w:r>
          </w:p>
        </w:tc>
      </w:tr>
      <w:tr w:rsidR="004A7D10">
        <w:trPr>
          <w:trHeight w:val="1035"/>
        </w:trPr>
        <w:tc>
          <w:tcPr>
            <w:tcW w:w="30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A7D10" w:rsidRDefault="00004D0D">
            <w:pPr>
              <w:pStyle w:val="Heading3"/>
              <w:keepNext w:val="0"/>
              <w:keepLines w:val="0"/>
              <w:spacing w:before="280"/>
              <w:jc w:val="center"/>
              <w:rPr>
                <w:b/>
                <w:bCs/>
                <w:color w:val="000000"/>
                <w:sz w:val="25"/>
                <w:szCs w:val="25"/>
              </w:rPr>
            </w:pPr>
            <w:bookmarkStart w:id="8" w:name="_8zeuqn8yuxf" w:colFirst="0" w:colLast="0"/>
            <w:bookmarkEnd w:id="8"/>
            <w:r>
              <w:rPr>
                <w:b/>
                <w:bCs/>
                <w:color w:val="000000"/>
                <w:sz w:val="25"/>
                <w:szCs w:val="25"/>
              </w:rPr>
              <w:t>Product Depth Index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A7D10" w:rsidRDefault="00004D0D">
            <w:pPr>
              <w:pStyle w:val="Heading3"/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/>
              <w:jc w:val="center"/>
            </w:pPr>
            <w:bookmarkStart w:id="9" w:name="_fwjfna7lth24" w:colFirst="0" w:colLast="0"/>
            <w:bookmarkEnd w:id="9"/>
            <w:r>
              <w:rPr>
                <w:color w:val="000000"/>
                <w:sz w:val="22"/>
                <w:szCs w:val="22"/>
              </w:rPr>
              <w:t>Mean product distribution per customer account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A7D10" w:rsidRDefault="00004D0D">
            <w:pPr>
              <w:pStyle w:val="Heading3"/>
              <w:keepNext w:val="0"/>
              <w:keepLines w:val="0"/>
              <w:spacing w:before="280"/>
              <w:jc w:val="center"/>
              <w:rPr>
                <w:color w:val="000000"/>
                <w:sz w:val="22"/>
                <w:szCs w:val="22"/>
              </w:rPr>
            </w:pPr>
            <w:bookmarkStart w:id="10" w:name="_ofsq78z2tega" w:colFirst="0" w:colLast="0"/>
            <w:bookmarkEnd w:id="10"/>
            <w:r>
              <w:rPr>
                <w:color w:val="000000"/>
                <w:sz w:val="22"/>
                <w:szCs w:val="22"/>
              </w:rPr>
              <w:t>Identified an optimal performance peak at 2.00 products.</w:t>
            </w:r>
          </w:p>
        </w:tc>
      </w:tr>
      <w:tr w:rsidR="004A7D10">
        <w:trPr>
          <w:trHeight w:val="1290"/>
        </w:trPr>
        <w:tc>
          <w:tcPr>
            <w:tcW w:w="30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A7D10" w:rsidRDefault="00004D0D">
            <w:pPr>
              <w:pStyle w:val="Heading3"/>
              <w:keepNext w:val="0"/>
              <w:keepLines w:val="0"/>
              <w:spacing w:before="280"/>
              <w:jc w:val="center"/>
              <w:rPr>
                <w:b/>
                <w:bCs/>
                <w:color w:val="000000"/>
                <w:sz w:val="25"/>
                <w:szCs w:val="25"/>
              </w:rPr>
            </w:pPr>
            <w:bookmarkStart w:id="11" w:name="_nzuddqt97zd9" w:colFirst="0" w:colLast="0"/>
            <w:bookmarkEnd w:id="11"/>
            <w:r>
              <w:rPr>
                <w:b/>
                <w:bCs/>
                <w:color w:val="000000"/>
                <w:sz w:val="25"/>
                <w:szCs w:val="25"/>
              </w:rPr>
              <w:t>High-Balance Disengagement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A7D10" w:rsidRDefault="00004D0D">
            <w:pPr>
              <w:pStyle w:val="Heading3"/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/>
              <w:jc w:val="center"/>
            </w:pPr>
            <w:bookmarkStart w:id="12" w:name="_1aegsmsb68um" w:colFirst="0" w:colLast="0"/>
            <w:bookmarkEnd w:id="12"/>
            <w:r>
              <w:rPr>
                <w:color w:val="000000"/>
                <w:sz w:val="22"/>
                <w:szCs w:val="22"/>
              </w:rPr>
              <w:t>Count of high-asset accounts showing zero active engagement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A7D10" w:rsidRDefault="00004D0D">
            <w:pPr>
              <w:pStyle w:val="Heading3"/>
              <w:keepNext w:val="0"/>
              <w:keepLines w:val="0"/>
              <w:spacing w:before="280"/>
              <w:jc w:val="center"/>
              <w:rPr>
                <w:color w:val="000000"/>
                <w:sz w:val="22"/>
                <w:szCs w:val="22"/>
              </w:rPr>
            </w:pPr>
            <w:bookmarkStart w:id="13" w:name="_fp6oy5l2xhbw" w:colFirst="0" w:colLast="0"/>
            <w:bookmarkEnd w:id="13"/>
            <w:r>
              <w:rPr>
                <w:color w:val="000000"/>
                <w:sz w:val="22"/>
                <w:szCs w:val="22"/>
              </w:rPr>
              <w:t>Flags "Ghost Accounts"</w:t>
            </w:r>
            <w:r>
              <w:rPr>
                <w:color w:val="000000"/>
                <w:sz w:val="22"/>
                <w:szCs w:val="22"/>
              </w:rPr>
              <w:t xml:space="preserve"> holding significant assets that are completely stagnant and at risk of leaving.</w:t>
            </w:r>
          </w:p>
        </w:tc>
      </w:tr>
      <w:tr w:rsidR="004A7D10">
        <w:trPr>
          <w:trHeight w:val="1290"/>
        </w:trPr>
        <w:tc>
          <w:tcPr>
            <w:tcW w:w="30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A7D10" w:rsidRDefault="00004D0D">
            <w:pPr>
              <w:pStyle w:val="Heading3"/>
              <w:keepNext w:val="0"/>
              <w:keepLines w:val="0"/>
              <w:spacing w:before="280"/>
              <w:jc w:val="center"/>
              <w:rPr>
                <w:b/>
                <w:bCs/>
                <w:color w:val="000000"/>
                <w:sz w:val="25"/>
                <w:szCs w:val="25"/>
              </w:rPr>
            </w:pPr>
            <w:bookmarkStart w:id="14" w:name="_pbliuy9uhr1d" w:colFirst="0" w:colLast="0"/>
            <w:bookmarkEnd w:id="14"/>
            <w:r>
              <w:rPr>
                <w:b/>
                <w:bCs/>
                <w:color w:val="000000"/>
                <w:sz w:val="25"/>
                <w:szCs w:val="25"/>
              </w:rPr>
              <w:t>Relationship Strength (RSI)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A7D10" w:rsidRDefault="00004D0D">
            <w:pPr>
              <w:pStyle w:val="Heading3"/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/>
              <w:jc w:val="center"/>
            </w:pPr>
            <w:bookmarkStart w:id="15" w:name="_80tbaj6tuwgr" w:colFirst="0" w:colLast="0"/>
            <w:bookmarkEnd w:id="15"/>
            <w:r>
              <w:rPr>
                <w:color w:val="000000"/>
                <w:sz w:val="22"/>
                <w:szCs w:val="22"/>
              </w:rPr>
              <w:t>Composite behavioural score (Scale: 1–9)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A7D10" w:rsidRDefault="00004D0D">
            <w:pPr>
              <w:pStyle w:val="Heading3"/>
              <w:keepNext w:val="0"/>
              <w:keepLines w:val="0"/>
              <w:spacing w:before="280"/>
              <w:jc w:val="center"/>
              <w:rPr>
                <w:color w:val="000000"/>
                <w:sz w:val="22"/>
                <w:szCs w:val="22"/>
              </w:rPr>
            </w:pPr>
            <w:bookmarkStart w:id="16" w:name="_73lgozfmjm4a" w:colFirst="0" w:colLast="0"/>
            <w:bookmarkEnd w:id="16"/>
            <w:r>
              <w:rPr>
                <w:color w:val="000000"/>
                <w:sz w:val="22"/>
                <w:szCs w:val="22"/>
              </w:rPr>
              <w:t>Proves that an RSI score of 5.00 acts as the threshold where customer loyalty stabilizes.</w:t>
            </w:r>
          </w:p>
        </w:tc>
      </w:tr>
    </w:tbl>
    <w:p w:rsidR="004A7D10" w:rsidRDefault="004A7D1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2l1yeotmldqn" w:colFirst="0" w:colLast="0"/>
      <w:bookmarkEnd w:id="17"/>
    </w:p>
    <w:p w:rsidR="004A7D10" w:rsidRDefault="00004D0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aqh4rvli9itn" w:colFirst="0" w:colLast="0"/>
      <w:bookmarkEnd w:id="18"/>
      <w:r>
        <w:rPr>
          <w:b/>
          <w:bCs/>
          <w:color w:val="000000"/>
          <w:sz w:val="26"/>
          <w:szCs w:val="26"/>
        </w:rPr>
        <w:lastRenderedPageBreak/>
        <w:t>Critical Insights for Stakeholders</w:t>
      </w:r>
    </w:p>
    <w:p w:rsidR="004A7D10" w:rsidRDefault="00004D0D">
      <w:pPr>
        <w:spacing w:before="240" w:after="240"/>
        <w:ind w:left="1080" w:hanging="360"/>
      </w:pPr>
      <w: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b/>
          <w:bCs/>
          <w:sz w:val="25"/>
          <w:szCs w:val="25"/>
        </w:rPr>
        <w:t>The Multi-Product Vulnerability:</w:t>
      </w:r>
      <w:r>
        <w:t xml:space="preserve"> The analytics system caught an alarming risk curve. Expanding a customer's portfolio to 3 or 4 products results in a turnover rate near 100%. Pushing too many products too fast creates massive customer friction rather than increasing loyalty.</w:t>
      </w:r>
    </w:p>
    <w:p w:rsidR="004A7D10" w:rsidRDefault="00004D0D">
      <w:pPr>
        <w:spacing w:before="240" w:after="240"/>
        <w:ind w:left="1080" w:hanging="360"/>
      </w:pPr>
      <w: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b/>
          <w:bCs/>
          <w:sz w:val="25"/>
          <w:szCs w:val="25"/>
        </w:rPr>
        <w:t>The R</w:t>
      </w:r>
      <w:r>
        <w:rPr>
          <w:b/>
          <w:bCs/>
          <w:sz w:val="25"/>
          <w:szCs w:val="25"/>
        </w:rPr>
        <w:t>SI Stabilization Line:</w:t>
      </w:r>
      <w:r>
        <w:t xml:space="preserve"> A calculated RSI(Relationship Strength Index) score of 5 serves as the reliable dividing line for account safety. Customers scoring below 5 represent a highly volatile risk group, while those at 5 or above show excellent long-term re</w:t>
      </w:r>
      <w:r>
        <w:t>tention metrics.</w:t>
      </w:r>
    </w:p>
    <w:p w:rsidR="004A7D10" w:rsidRDefault="00004D0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5mhda95swhv8" w:colFirst="0" w:colLast="0"/>
      <w:bookmarkEnd w:id="19"/>
      <w:r>
        <w:rPr>
          <w:b/>
          <w:bCs/>
          <w:color w:val="000000"/>
          <w:sz w:val="26"/>
          <w:szCs w:val="26"/>
        </w:rPr>
        <w:t>Government &amp; Regulatory Action Plan</w:t>
      </w:r>
    </w:p>
    <w:p w:rsidR="004A7D10" w:rsidRDefault="00004D0D">
      <w:pPr>
        <w:spacing w:before="240" w:after="240"/>
        <w:ind w:left="1080" w:hanging="360"/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b/>
          <w:bCs/>
          <w:sz w:val="25"/>
          <w:szCs w:val="25"/>
        </w:rPr>
        <w:t>Stabilize Systemic Liquidity:</w:t>
      </w:r>
      <w:r>
        <w:t xml:space="preserve"> Mandate that retail banking operations shift their marketing focus from high-volume cross-selling to high-quality engagement, keeping customers anchored at the opti</w:t>
      </w:r>
      <w:r>
        <w:t>mal 2-product safety tier.</w:t>
      </w:r>
    </w:p>
    <w:p w:rsidR="004A7D10" w:rsidRDefault="00004D0D">
      <w:pPr>
        <w:spacing w:before="240" w:after="240"/>
        <w:ind w:left="1080" w:hanging="360"/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b/>
          <w:bCs/>
          <w:sz w:val="25"/>
          <w:szCs w:val="25"/>
        </w:rPr>
        <w:t>Deploy Proactive Retention Programs:</w:t>
      </w:r>
      <w:r>
        <w:t xml:space="preserve"> Use the high-value disengaged customer detector built into the system to automatically generate retention target lists, allowing teams to secure large financial deposits before capita</w:t>
      </w:r>
      <w:r>
        <w:t>l leaves the institution.</w:t>
      </w:r>
    </w:p>
    <w:p w:rsidR="004A7D10" w:rsidRDefault="00004D0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bv8i2bj738zv" w:colFirst="0" w:colLast="0"/>
      <w:bookmarkEnd w:id="20"/>
      <w:r>
        <w:rPr>
          <w:b/>
          <w:bCs/>
          <w:color w:val="000000"/>
          <w:sz w:val="26"/>
          <w:szCs w:val="26"/>
        </w:rPr>
        <w:t xml:space="preserve"> </w:t>
      </w:r>
    </w:p>
    <w:p w:rsidR="004A7D10" w:rsidRDefault="004A7D10"/>
    <w:sectPr w:rsidR="004A7D1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90398DC-268B-45BD-B23B-5A9347E99E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4743BBC-1F80-4961-B94D-27A666E714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defaultTabStop w:val="720"/>
  <w:characterSpacingControl w:val="doNotCompress"/>
  <w:compat>
    <w:compatSetting w:name="compatibilityMode" w:uri="http://schemas.microsoft.com/office/word" w:val="14"/>
  </w:compat>
  <w:rsids>
    <w:rsidRoot w:val="004A7D10"/>
    <w:rsid w:val="00004D0D"/>
    <w:rsid w:val="004A7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2026-07-05T13:16:00Z</dcterms:created>
  <dcterms:modified xsi:type="dcterms:W3CDTF">2026-07-05T13:16:00Z</dcterms:modified>
</cp:coreProperties>
</file>