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spacing w:before="0" w:after="0"/>
        <w:shd w:val="clear" w:color="auto" w:fill="1B3A5C"/>
      </w:pPr>
      <w:r>
        <w:rPr>
          <w:b/>
          <w:rFonts w:ascii="Sylfaen" w:hAnsi="Sylfaen" w:cs="Sylfaen"/>
          <w:color w:val="FFFFFF"/>
          <w:sz w:val="36"/>
          <w:szCs w:val="36"/>
        </w:rPr>
        <w:t xml:space="preserve">შპს ბილდექს ექსპერტიზა</w:t>
      </w:r>
    </w:p>
    <w:p>
      <w:pPr>
        <w:pStyle w:val="Heading2"/>
      </w:pPr>
      <w:r>
        <w:rPr>
          <w:b/>
          <w:sz w:val="26"/>
          <w:szCs w:val="26"/>
        </w:rPr>
        <w:t xml:space="preserve">ცვლილებების ჟურნალი</w:t>
      </w:r>
    </w:p>
    <w:p>
      <w:pPr/>
      <w:r>
        <w:rPr/>
        <w:t xml:space="preserve">წინამდებარე მეორე რედაქცია (ვერსია 2.0, გამოცემის თარიღი 04.06.2026) ასახავს დამტკიცებული რევიზიის შედეგებსა და ხარისხის სახელმძღვანელო QM-01-ის (ვერსია 2.0) მეორე რედაქციასთან სრულ შესაბამისობას.</w:t>
      </w:r>
    </w:p>
    <w:tbl>
      <w:tblPr>
        <w:tblStyle w:val="TableGrid"/>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500"/>
        <w:gridCol w:w="3200"/>
        <w:gridCol w:w="3200"/>
        <w:gridCol w:w="2400"/>
      </w:tblGrid>
      <w:tr>
        <w:tc>
          <w:tcPr>
            <w:tcW w:w="500" w:type="dxa"/>
            <w:shd w:val="clear" w:color="auto" w:fill="D9E2F3"/>
          </w:tcPr>
          <w:p>
            <w:pPr/>
            <w:r>
              <w:rPr>
                <w:b/>
              </w:rPr>
              <w:t xml:space="preserve">№</w:t>
            </w:r>
          </w:p>
        </w:tc>
        <w:tc>
          <w:tcPr>
            <w:tcW w:w="3200" w:type="dxa"/>
            <w:shd w:val="clear" w:color="auto" w:fill="D9E2F3"/>
          </w:tcPr>
          <w:p>
            <w:pPr/>
            <w:r>
              <w:rPr>
                <w:b/>
              </w:rPr>
              <w:t xml:space="preserve">რა შეიცვალა</w:t>
            </w:r>
          </w:p>
        </w:tc>
        <w:tc>
          <w:tcPr>
            <w:tcW w:w="3200" w:type="dxa"/>
            <w:shd w:val="clear" w:color="auto" w:fill="D9E2F3"/>
          </w:tcPr>
          <w:p>
            <w:pPr/>
            <w:r>
              <w:rPr>
                <w:b/>
              </w:rPr>
              <w:t xml:space="preserve">რატომ (ხარვეზის აღწერა)</w:t>
            </w:r>
          </w:p>
        </w:tc>
        <w:tc>
          <w:tcPr>
            <w:tcW w:w="2400" w:type="dxa"/>
            <w:shd w:val="clear" w:color="auto" w:fill="D9E2F3"/>
          </w:tcPr>
          <w:p>
            <w:pPr/>
            <w:r>
              <w:rPr>
                <w:b/>
              </w:rPr>
              <w:t xml:space="preserve">საფუძველი (ISO 17020 / საკ / კანონი / QM-01)</w:t>
            </w:r>
          </w:p>
        </w:tc>
      </w:tr>
      <w:tr>
        <w:tc>
          <w:tcPr>
            <w:tcW w:w="500" w:type="dxa"/>
          </w:tcPr>
          <w:p>
            <w:pPr/>
            <w:r>
              <w:rPr/>
              <w:t xml:space="preserve">1</w:t>
            </w:r>
          </w:p>
        </w:tc>
        <w:tc>
          <w:tcPr>
            <w:tcW w:w="3200" w:type="dxa"/>
          </w:tcPr>
          <w:p>
            <w:pPr/>
            <w:r>
              <w:rPr/>
              <w:t xml:space="preserve">ვერსია 1.0 → 2.0 / მეორე რედაქცია; ერთიანი გამოცემის თარიღი 04.06.2026.</w:t>
            </w:r>
          </w:p>
        </w:tc>
        <w:tc>
          <w:tcPr>
            <w:tcW w:w="3200" w:type="dxa"/>
          </w:tcPr>
          <w:p>
            <w:pPr/>
            <w:r>
              <w:rPr/>
              <w:t xml:space="preserve">დაქვემდებარებული დოკუმენტები v2.0-ზე მიუთითებდნენ, ხოლო ორიგინალი QM-01 v1.0 იყო — „v2.0 არ არსებობს“ ხარვეზი.</w:t>
            </w:r>
          </w:p>
        </w:tc>
        <w:tc>
          <w:tcPr>
            <w:tcW w:w="2400" w:type="dxa"/>
          </w:tcPr>
          <w:p>
            <w:pPr/>
            <w:r>
              <w:rPr/>
              <w:t xml:space="preserve">ISO/IEC 17020 §8.3; REVISION_SPEC §1; QM-01</w:t>
            </w:r>
          </w:p>
        </w:tc>
      </w:tr>
      <w:tr>
        <w:tc>
          <w:tcPr>
            <w:tcW w:w="500" w:type="dxa"/>
          </w:tcPr>
          <w:p>
            <w:pPr/>
            <w:r>
              <w:rPr/>
              <w:t xml:space="preserve">2</w:t>
            </w:r>
          </w:p>
        </w:tc>
        <w:tc>
          <w:tcPr>
            <w:tcW w:w="3200" w:type="dxa"/>
          </w:tcPr>
          <w:p>
            <w:pPr/>
            <w:r>
              <w:rPr/>
              <w:t xml:space="preserve">ფორმების კოდირება: FM-XX → BE-FM-* (დასახელებით); პოლიტიკები POL-0X → BE-POL-0X.</w:t>
            </w:r>
          </w:p>
        </w:tc>
        <w:tc>
          <w:tcPr>
            <w:tcW w:w="3200" w:type="dxa"/>
          </w:tcPr>
          <w:p>
            <w:pPr/>
            <w:r>
              <w:rPr/>
              <w:t xml:space="preserve">არასტანდარტული „FM-XX“/„POL-XX“ კოდები არ ემთხვეოდა QM-01-ის ფორმებისა და პოლიტიკების რეესტრს.</w:t>
            </w:r>
          </w:p>
        </w:tc>
        <w:tc>
          <w:tcPr>
            <w:tcW w:w="2400" w:type="dxa"/>
          </w:tcPr>
          <w:p>
            <w:pPr/>
            <w:r>
              <w:rPr/>
              <w:t xml:space="preserve">REVISION_SPEC §2; QM-01 §9, ფორმების რეესტრი</w:t>
            </w:r>
          </w:p>
        </w:tc>
      </w:tr>
      <w:tr>
        <w:tc>
          <w:tcPr>
            <w:tcW w:w="500" w:type="dxa"/>
          </w:tcPr>
          <w:p>
            <w:pPr/>
            <w:r>
              <w:rPr/>
              <w:t xml:space="preserve">3</w:t>
            </w:r>
          </w:p>
        </w:tc>
        <w:tc>
          <w:tcPr>
            <w:tcW w:w="3200" w:type="dxa"/>
          </w:tcPr>
          <w:p>
            <w:pPr/>
            <w:r>
              <w:rPr/>
              <w:t xml:space="preserve">ელფოსტა info@buildexexpertise.com → buildexexpertise@gmail.com.</w:t>
            </w:r>
          </w:p>
        </w:tc>
        <w:tc>
          <w:tcPr>
            <w:tcW w:w="3200" w:type="dxa"/>
          </w:tcPr>
          <w:p>
            <w:pPr/>
            <w:r>
              <w:rPr/>
              <w:t xml:space="preserve">არასწორი/არარსებული საკონტაქტო ელფოსტა.</w:t>
            </w:r>
          </w:p>
        </w:tc>
        <w:tc>
          <w:tcPr>
            <w:tcW w:w="2400" w:type="dxa"/>
          </w:tcPr>
          <w:p>
            <w:pPr/>
            <w:r>
              <w:rPr/>
              <w:t xml:space="preserve">REVISION_SPEC §7</w:t>
            </w:r>
          </w:p>
        </w:tc>
      </w:tr>
      <w:tr>
        <w:tc>
          <w:tcPr>
            <w:tcW w:w="500" w:type="dxa"/>
          </w:tcPr>
          <w:p>
            <w:pPr/>
            <w:r>
              <w:rPr/>
              <w:t xml:space="preserve">4</w:t>
            </w:r>
          </w:p>
        </w:tc>
        <w:tc>
          <w:tcPr>
            <w:tcW w:w="3200" w:type="dxa"/>
          </w:tcPr>
          <w:p>
            <w:pPr/>
            <w:r>
              <w:rPr/>
              <w:t xml:space="preserve">დაემატა ფოტო-/ვიდეოფიქსაციის სავალდებულო მოთხოვნა თარიღითა და ზუსტი დროით.</w:t>
            </w:r>
          </w:p>
        </w:tc>
        <w:tc>
          <w:tcPr>
            <w:tcW w:w="3200" w:type="dxa"/>
          </w:tcPr>
          <w:p>
            <w:pPr/>
            <w:r>
              <w:rPr/>
              <w:t xml:space="preserve">არ იყო ცალსახა მოთხოვნა ფიქსაციის სავალდებულოობასა და თარიღ/დროის (timestamp) აღნიშვნაზე.</w:t>
            </w:r>
          </w:p>
        </w:tc>
        <w:tc>
          <w:tcPr>
            <w:tcW w:w="2400" w:type="dxa"/>
          </w:tcPr>
          <w:p>
            <w:pPr/>
            <w:r>
              <w:rPr/>
              <w:t xml:space="preserve">QM-01 §10.4.1; REVISION_SPEC §5; ISO §7.3, §7.4</w:t>
            </w:r>
          </w:p>
        </w:tc>
      </w:tr>
      <w:tr>
        <w:tc>
          <w:tcPr>
            <w:tcW w:w="500" w:type="dxa"/>
          </w:tcPr>
          <w:p>
            <w:pPr/>
            <w:r>
              <w:rPr/>
              <w:t xml:space="preserve">5</w:t>
            </w:r>
          </w:p>
        </w:tc>
        <w:tc>
          <w:tcPr>
            <w:tcW w:w="3200" w:type="dxa"/>
          </w:tcPr>
          <w:p>
            <w:pPr/>
            <w:r>
              <w:rPr/>
              <w:t xml:space="preserve">დაემატა ინსპექტორის ფორმალური ავტორიზაციისა და კომპეტენციის ბმა.</w:t>
            </w:r>
          </w:p>
        </w:tc>
        <w:tc>
          <w:tcPr>
            <w:tcW w:w="3200" w:type="dxa"/>
          </w:tcPr>
          <w:p>
            <w:pPr/>
            <w:r>
              <w:rPr/>
              <w:t xml:space="preserve">ინსპექტორის ავტორიზაცია/კომპეტენცია დოკუმენტში ფორმალურად განსაზღვრული არ იყო.</w:t>
            </w:r>
          </w:p>
        </w:tc>
        <w:tc>
          <w:tcPr>
            <w:tcW w:w="2400" w:type="dxa"/>
          </w:tcPr>
          <w:p>
            <w:pPr/>
            <w:r>
              <w:rPr/>
              <w:t xml:space="preserve">ISO/IEC 17020 §5.1.3, §6.2.6, §6.2.7</w:t>
            </w:r>
          </w:p>
        </w:tc>
      </w:tr>
      <w:tr>
        <w:tc>
          <w:tcPr>
            <w:tcW w:w="500" w:type="dxa"/>
          </w:tcPr>
          <w:p>
            <w:pPr/>
            <w:r>
              <w:rPr/>
              <w:t xml:space="preserve">6</w:t>
            </w:r>
          </w:p>
        </w:tc>
        <w:tc>
          <w:tcPr>
            <w:tcW w:w="3200" w:type="dxa"/>
          </w:tcPr>
          <w:p>
            <w:pPr/>
            <w:r>
              <w:rPr/>
              <w:t xml:space="preserve">სათაურის ISO ბმა §8.1 → §7.1.1; შიდა კოდი „BE-სამუშაო ინსტრუქცია-03“ → BE-WI-03.</w:t>
            </w:r>
          </w:p>
        </w:tc>
        <w:tc>
          <w:tcPr>
            <w:tcW w:w="3200" w:type="dxa"/>
          </w:tcPr>
          <w:p>
            <w:pPr/>
            <w:r>
              <w:rPr/>
              <w:t xml:space="preserve">ISO §8.1 (მართვის სისტემა) არ შეესაბამება III დონის სამუშაო ინსტრუქციას; ISO §5.3.x არ არსებობს.</w:t>
            </w:r>
          </w:p>
        </w:tc>
        <w:tc>
          <w:tcPr>
            <w:tcW w:w="2400" w:type="dxa"/>
          </w:tcPr>
          <w:p>
            <w:pPr/>
            <w:r>
              <w:rPr/>
              <w:t xml:space="preserve">ISO §7.1.1 (5.3.x არ არსებობს — იხ. §5.2); QM-01 §9</w:t>
            </w:r>
          </w:p>
        </w:tc>
      </w:tr>
      <w:tr>
        <w:tc>
          <w:tcPr>
            <w:tcW w:w="500" w:type="dxa"/>
          </w:tcPr>
          <w:p>
            <w:pPr/>
            <w:r>
              <w:rPr/>
              <w:t xml:space="preserve">7</w:t>
            </w:r>
          </w:p>
        </w:tc>
        <w:tc>
          <w:tcPr>
            <w:tcW w:w="3200" w:type="dxa"/>
          </w:tcPr>
          <w:p>
            <w:pPr/>
            <w:r>
              <w:rPr/>
              <w:t xml:space="preserve">თარიღების უნიფიკაცია 28.04.2026 → 04.06.2026; დაემატა მშობელი პროცედურის (BE-PR-01) ბმა.</w:t>
            </w:r>
          </w:p>
        </w:tc>
        <w:tc>
          <w:tcPr>
            <w:tcW w:w="3200" w:type="dxa"/>
          </w:tcPr>
          <w:p>
            <w:pPr/>
            <w:r>
              <w:rPr/>
              <w:t xml:space="preserve">თარიღების ლოგიკის ხარვეზი (HR-JD/ORD &lt; QM-01); მშობელი-პროცედურის ბმა აკლდა.</w:t>
            </w:r>
          </w:p>
        </w:tc>
        <w:tc>
          <w:tcPr>
            <w:tcW w:w="2400" w:type="dxa"/>
          </w:tcPr>
          <w:p>
            <w:pPr/>
            <w:r>
              <w:rPr/>
              <w:t xml:space="preserve">REVISION_SPEC §1; QM-01 §1.2</w:t>
            </w:r>
          </w:p>
        </w:tc>
      </w:tr>
      <w:tr>
        <w:tc>
          <w:tcPr>
            <w:tcW w:w="450" w:type="dxa"/>
          </w:tcPr>
          <w:p>
            <w:pPr/>
            <w:r>
              <w:rPr/>
              <w:t xml:space="preserve">3</w:t>
            </w:r>
          </w:p>
        </w:tc>
        <w:tc>
          <w:tcPr>
            <w:tcW w:w="3200" w:type="dxa"/>
          </w:tcPr>
          <w:p>
            <w:pPr/>
            <w:r>
              <w:rPr/>
              <w:t xml:space="preserve">დოკუმენტის დონის ველი „II დონე — პროცედურა / პოლიტიკა“ → „III დონე — სამუშაო ინსტრუქცია“; ISO ბმა „§7.2“ → „§7.1.1“.</w:t>
            </w:r>
          </w:p>
        </w:tc>
        <w:tc>
          <w:tcPr>
            <w:tcW w:w="3200" w:type="dxa"/>
          </w:tcPr>
          <w:p>
            <w:pPr/>
            <w:r>
              <w:rPr/>
              <w:t xml:space="preserve">დონის ველი ეწინააღმდეგებოდა სათაურსა და 00-რეესტრს; მეთოდს არეგულირებს §7.1.</w:t>
            </w:r>
          </w:p>
        </w:tc>
        <w:tc>
          <w:tcPr>
            <w:tcW w:w="2400" w:type="dxa"/>
          </w:tcPr>
          <w:p>
            <w:pPr/>
            <w:r>
              <w:rPr/>
              <w:t xml:space="preserve">ISO/IEC 17020 §7.1; 00-რეესტრი</w:t>
            </w:r>
          </w:p>
        </w:tc>
      </w:tr>
    </w:tbl>
    <w:p>
      <w:pPr/>
    </w:p>
    <w:p>
      <w:pPr>
        <w:jc w:val="center"/>
        <w:spacing w:before="0" w:after="200"/>
        <w:shd w:val="clear" w:color="auto" w:fill="2E75B6"/>
      </w:pPr>
      <w:r>
        <w:rPr>
          <w:rFonts w:ascii="Sylfaen" w:hAnsi="Sylfaen" w:cs="Sylfaen"/>
          <w:color w:val="FFFFFF"/>
          <w:sz w:val="18"/>
          <w:szCs w:val="18"/>
        </w:rPr>
        <w:t xml:space="preserve">ს/კ 431188010  |  ქ. თელავი, ლიონიძის ქ. 22  |  buildexexpertise@gmail.com</w:t>
      </w:r>
    </w:p>
    <w:p>
      <w:pPr>
        <w:jc w:val="center"/>
        <w:spacing w:before="0" w:after="100"/>
      </w:pPr>
    </w:p>
    <w:p>
      <w:pPr>
        <w:jc w:val="center"/>
        <w:spacing w:before="0" w:after="100"/>
      </w:pPr>
    </w:p>
    <w:p>
      <w:pPr>
        <w:jc w:val="center"/>
        <w:spacing w:before="0" w:after="100"/>
      </w:pPr>
    </w:p>
    <w:p>
      <w:pPr>
        <w:jc w:val="center"/>
        <w:spacing w:before="2880" w:after="720"/>
      </w:pPr>
      <w:r>
        <w:drawing>
          <wp:inline distT="0" distB="0" distL="0" distR="0">
            <wp:extent cx="1440000" cy="1257600"/>
            <wp:effectExtent l="0" t="0" r="0" b="0"/>
            <wp:docPr id="200" name="Cove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 name="CoverLogo"/>
                    <pic:cNvPicPr>
                      <a:picLocks noChangeAspect="1"/>
                    </pic:cNvPicPr>
                  </pic:nvPicPr>
                  <pic:blipFill>
                    <a:blip r:embed="rIdCoverLogo"/>
                    <a:stretch>
                      <a:fillRect/>
                    </a:stretch>
                  </pic:blipFill>
                  <pic:spPr>
                    <a:xfrm>
                      <a:off x="0" y="0"/>
                      <a:ext cx="1440000" cy="1257600"/>
                    </a:xfrm>
                    <a:prstGeom prst="rect">
                      <a:avLst/>
                    </a:prstGeom>
                  </pic:spPr>
                </pic:pic>
              </a:graphicData>
            </a:graphic>
          </wp:inline>
        </w:drawing>
      </w:r>
    </w:p>
    <w:p>
      <w:pPr>
        <w:jc w:val="center"/>
        <w:spacing w:before="0" w:after="100"/>
      </w:pPr>
    </w:p>
    <w:p>
      <w:pPr>
        <w:jc w:val="center"/>
        <w:spacing w:before="0" w:after="100"/>
      </w:pPr>
    </w:p>
    <w:p>
      <w:pPr>
        <w:jc w:val="center"/>
        <w:spacing w:before="100" w:after="100"/>
      </w:pPr>
      <w:r>
        <w:rPr>
          <w:b/>
          <w:rFonts w:ascii="Sylfaen" w:hAnsi="Sylfaen" w:cs="Sylfaen"/>
          <w:color w:val="1B3A5C"/>
          <w:sz w:val="44"/>
          <w:szCs w:val="44"/>
        </w:rPr>
        <w:t xml:space="preserve">ფასწარმოქმნის ადეკვატურობა</w:t>
      </w:r>
    </w:p>
    <w:p>
      <w:pPr>
        <w:jc w:val="center"/>
        <w:spacing w:before="40" w:after="80"/>
      </w:pPr>
      <w:r>
        <w:rPr>
          <w:b/>
          <w:rFonts w:ascii="Sylfaen" w:hAnsi="Sylfaen" w:cs="Sylfaen"/>
          <w:color w:val="2E75B6"/>
          <w:sz w:val="64"/>
          <w:szCs w:val="64"/>
        </w:rPr>
        <w:t xml:space="preserve">BE-WI-03</w:t>
      </w:r>
    </w:p>
    <w:p>
      <w:pPr>
        <w:jc w:val="center"/>
        <w:spacing w:before="0" w:after="120"/>
      </w:pPr>
      <w:r>
        <w:rPr>
          <w:rFonts w:ascii="Sylfaen" w:hAnsi="Sylfaen" w:cs="Sylfaen"/>
          <w:color w:val="1B3A5C"/>
          <w:sz w:val="20"/>
          <w:szCs w:val="20"/>
        </w:rPr>
        <w:t xml:space="preserve">სამუშაო ინსტრუქცია | სსტ ISO/IEC 17020:2012/2013 §7.1.1</w:t>
      </w:r>
    </w:p>
    <w:p>
      <w:pPr>
        <w:pBdr>
          <w:bottom w:val="single" w:sz="8" w:space="1" w:color="2E75B6"/>
        </w:pBdr>
        <w:spacing w:before="200" w:after="200"/>
      </w:pPr>
    </w:p>
    <w:tbl>
      <w:tblPr>
        <w:tblW w:w="9000" w:type="dxa"/>
        <w:tblBorders>
          <w:top w:val="single" w:sz="4" w:color="1B3A5C"/>
          <w:left w:val="single" w:sz="4" w:color="1B3A5C"/>
          <w:bottom w:val="single" w:sz="4" w:color="1B3A5C"/>
          <w:right w:val="single" w:sz="4" w:color="1B3A5C"/>
          <w:insideH w:val="single" w:sz="4" w:color="1B3A5C"/>
          <w:insideV w:val="single" w:sz="4" w:color="1B3A5C"/>
        </w:tblBorders>
        <w:tblCellMar>
          <w:top w:w="80" w:type="dxa"/>
          <w:left w:w="160" w:type="dxa"/>
          <w:bottom w:w="80" w:type="dxa"/>
          <w:right w:w="160" w:type="dxa"/>
        </w:tblCellMar>
      </w:tblPr>
      <w:tr>
        <w:tc>
          <w:tcPr>
            <w:tcW w:w="3600" w:type="dxa"/>
            <w:shd w:val="clear" w:color="auto" w:fill="EBF3FA"/>
          </w:tcPr>
          <w:p>
            <w:pPr>
              <w:jc w:val="left"/>
            </w:pPr>
            <w:r>
              <w:rPr>
                <w:b/>
                <w:rFonts w:ascii="Sylfaen" w:hAnsi="Sylfaen" w:cs="Sylfaen"/>
                <w:color w:val="1B3A5C"/>
                <w:sz w:val="18"/>
                <w:szCs w:val="18"/>
              </w:rPr>
              <w:t xml:space="preserve">იურიდიული პირი:</w:t>
            </w:r>
          </w:p>
        </w:tc>
        <w:tc>
          <w:tcPr>
            <w:tcW w:w="5400" w:type="dxa"/>
          </w:tcPr>
          <w:p>
            <w:pPr>
              <w:jc w:val="left"/>
            </w:pPr>
            <w:r>
              <w:rPr>
                <w:rFonts w:ascii="Sylfaen" w:hAnsi="Sylfaen" w:cs="Sylfaen"/>
                <w:color w:val="1B3A5C"/>
                <w:sz w:val="18"/>
                <w:szCs w:val="18"/>
              </w:rPr>
              <w:t xml:space="preserve">შპს "ბილდექს ექსპერტიზა"</w:t>
            </w:r>
          </w:p>
        </w:tc>
      </w:tr>
      <w:tr>
        <w:tc>
          <w:tcPr>
            <w:tcW w:w="3600" w:type="dxa"/>
            <w:shd w:val="clear" w:color="auto" w:fill="EBF3FA"/>
          </w:tcPr>
          <w:p>
            <w:pPr>
              <w:jc w:val="left"/>
            </w:pPr>
            <w:r>
              <w:rPr>
                <w:b/>
                <w:rFonts w:ascii="Sylfaen" w:hAnsi="Sylfaen" w:cs="Sylfaen"/>
                <w:color w:val="1B3A5C"/>
                <w:sz w:val="18"/>
                <w:szCs w:val="18"/>
              </w:rPr>
              <w:t xml:space="preserve">საიდ. კოდი:</w:t>
            </w:r>
          </w:p>
        </w:tc>
        <w:tc>
          <w:tcPr>
            <w:tcW w:w="5400" w:type="dxa"/>
          </w:tcPr>
          <w:p>
            <w:pPr>
              <w:jc w:val="left"/>
            </w:pPr>
            <w:r>
              <w:rPr>
                <w:rFonts w:ascii="Sylfaen" w:hAnsi="Sylfaen" w:cs="Sylfaen"/>
                <w:color w:val="1B3A5C"/>
                <w:sz w:val="18"/>
                <w:szCs w:val="18"/>
              </w:rPr>
              <w:t xml:space="preserve">431188010</w:t>
            </w:r>
          </w:p>
        </w:tc>
      </w:tr>
      <w:tr>
        <w:tc>
          <w:tcPr>
            <w:tcW w:w="3600" w:type="dxa"/>
            <w:shd w:val="clear" w:color="auto" w:fill="EBF3FA"/>
          </w:tcPr>
          <w:p>
            <w:pPr>
              <w:jc w:val="left"/>
            </w:pPr>
            <w:r>
              <w:rPr>
                <w:b/>
                <w:rFonts w:ascii="Sylfaen" w:hAnsi="Sylfaen" w:cs="Sylfaen"/>
                <w:color w:val="1B3A5C"/>
                <w:sz w:val="18"/>
                <w:szCs w:val="18"/>
              </w:rPr>
              <w:t xml:space="preserve">მისამართი:</w:t>
            </w:r>
          </w:p>
        </w:tc>
        <w:tc>
          <w:tcPr>
            <w:tcW w:w="5400" w:type="dxa"/>
          </w:tcPr>
          <w:p>
            <w:pPr>
              <w:jc w:val="left"/>
            </w:pPr>
            <w:r>
              <w:rPr>
                <w:rFonts w:ascii="Sylfaen" w:hAnsi="Sylfaen" w:cs="Sylfaen"/>
                <w:color w:val="1B3A5C"/>
                <w:sz w:val="18"/>
                <w:szCs w:val="18"/>
              </w:rPr>
              <w:t xml:space="preserve">ქ. თელავი, ლიონიძის ქ. 22</w:t>
            </w:r>
          </w:p>
        </w:tc>
      </w:tr>
      <w:tr>
        <w:tc>
          <w:tcPr>
            <w:tcW w:w="3600" w:type="dxa"/>
            <w:shd w:val="clear" w:color="auto" w:fill="EBF3FA"/>
          </w:tcPr>
          <w:p>
            <w:pPr>
              <w:jc w:val="left"/>
            </w:pPr>
            <w:r>
              <w:rPr>
                <w:b/>
                <w:rFonts w:ascii="Sylfaen" w:hAnsi="Sylfaen" w:cs="Sylfaen"/>
                <w:color w:val="1B3A5C"/>
                <w:sz w:val="18"/>
                <w:szCs w:val="18"/>
              </w:rPr>
              <w:t xml:space="preserve">ელ-ფოსტა:</w:t>
            </w:r>
          </w:p>
        </w:tc>
        <w:tc>
          <w:tcPr>
            <w:tcW w:w="5400" w:type="dxa"/>
          </w:tcPr>
          <w:p>
            <w:pPr>
              <w:jc w:val="left"/>
            </w:pPr>
            <w:r>
              <w:rPr>
                <w:rFonts w:ascii="Sylfaen" w:hAnsi="Sylfaen" w:cs="Sylfaen"/>
                <w:color w:val="1B3A5C"/>
                <w:sz w:val="18"/>
                <w:szCs w:val="18"/>
              </w:rPr>
              <w:t xml:space="preserve">buildexexpertise@gmail.com</w:t>
            </w:r>
          </w:p>
        </w:tc>
      </w:tr>
      <w:tr>
        <w:tc>
          <w:tcPr>
            <w:tcW w:w="3600" w:type="dxa"/>
            <w:shd w:val="clear" w:color="auto" w:fill="EBF3FA"/>
          </w:tcPr>
          <w:p>
            <w:pPr>
              <w:jc w:val="left"/>
            </w:pPr>
            <w:r>
              <w:rPr>
                <w:b/>
                <w:rFonts w:ascii="Sylfaen" w:hAnsi="Sylfaen" w:cs="Sylfaen"/>
                <w:color w:val="1B3A5C"/>
                <w:sz w:val="18"/>
                <w:szCs w:val="18"/>
              </w:rPr>
              <w:t xml:space="preserve">ტელეფონი:</w:t>
            </w:r>
          </w:p>
        </w:tc>
        <w:tc>
          <w:tcPr>
            <w:tcW w:w="5400" w:type="dxa"/>
          </w:tcPr>
          <w:p>
            <w:pPr>
              <w:jc w:val="left"/>
            </w:pPr>
            <w:r>
              <w:rPr>
                <w:rFonts w:ascii="Sylfaen" w:hAnsi="Sylfaen" w:cs="Sylfaen"/>
                <w:color w:val="1B3A5C"/>
                <w:sz w:val="18"/>
                <w:szCs w:val="18"/>
              </w:rPr>
              <w:t xml:space="preserve">+995 511 747 400</w:t>
            </w:r>
          </w:p>
        </w:tc>
      </w:tr>
      <w:tr>
        <w:tc>
          <w:tcPr>
            <w:tcW w:w="3600" w:type="dxa"/>
            <w:shd w:val="clear" w:color="auto" w:fill="EBF3FA"/>
          </w:tcPr>
          <w:p>
            <w:pPr>
              <w:jc w:val="left"/>
            </w:pPr>
            <w:r>
              <w:rPr>
                <w:b/>
                <w:rFonts w:ascii="Sylfaen" w:hAnsi="Sylfaen" w:cs="Sylfaen"/>
                <w:color w:val="1B3A5C"/>
                <w:sz w:val="18"/>
                <w:szCs w:val="18"/>
              </w:rPr>
              <w:t xml:space="preserve">ორგ. ტიპი:</w:t>
            </w:r>
          </w:p>
        </w:tc>
        <w:tc>
          <w:tcPr>
            <w:tcW w:w="5400" w:type="dxa"/>
          </w:tcPr>
          <w:p>
            <w:pPr>
              <w:jc w:val="left"/>
            </w:pPr>
            <w:r>
              <w:rPr>
                <w:rFonts w:ascii="Sylfaen" w:hAnsi="Sylfaen" w:cs="Sylfaen"/>
                <w:color w:val="1B3A5C"/>
                <w:sz w:val="18"/>
                <w:szCs w:val="18"/>
              </w:rPr>
              <w:t xml:space="preserve">A ტ. — სსტ ISO/IEC 17020:2012/2013</w:t>
            </w:r>
          </w:p>
        </w:tc>
      </w:tr>
      <w:tr>
        <w:tc>
          <w:tcPr>
            <w:tcW w:w="3600" w:type="dxa"/>
            <w:shd w:val="clear" w:color="auto" w:fill="EBF3FA"/>
          </w:tcPr>
          <w:p>
            <w:pPr>
              <w:jc w:val="left"/>
            </w:pPr>
            <w:r>
              <w:rPr>
                <w:b/>
                <w:rFonts w:ascii="Sylfaen" w:hAnsi="Sylfaen" w:cs="Sylfaen"/>
                <w:color w:val="1B3A5C"/>
                <w:sz w:val="18"/>
                <w:szCs w:val="18"/>
              </w:rPr>
              <w:t xml:space="preserve">შედგ.:</w:t>
            </w:r>
          </w:p>
        </w:tc>
        <w:tc>
          <w:tcPr>
            <w:tcW w:w="5400" w:type="dxa"/>
          </w:tcPr>
          <w:p>
            <w:pPr>
              <w:jc w:val="left"/>
            </w:pPr>
            <w:r>
              <w:rPr>
                <w:rFonts w:ascii="Sylfaen" w:hAnsi="Sylfaen" w:cs="Sylfaen"/>
                <w:color w:val="1B3A5C"/>
                <w:sz w:val="18"/>
                <w:szCs w:val="18"/>
              </w:rPr>
              <w:t xml:space="preserve">ხარისხის მენეჯერი</w:t>
            </w:r>
          </w:p>
        </w:tc>
      </w:tr>
      <w:tr>
        <w:tc>
          <w:tcPr>
            <w:tcW w:w="3600" w:type="dxa"/>
            <w:shd w:val="clear" w:color="auto" w:fill="EBF3FA"/>
          </w:tcPr>
          <w:p>
            <w:pPr>
              <w:jc w:val="left"/>
            </w:pPr>
            <w:r>
              <w:rPr>
                <w:b/>
                <w:rFonts w:ascii="Sylfaen" w:hAnsi="Sylfaen" w:cs="Sylfaen"/>
                <w:color w:val="1B3A5C"/>
                <w:sz w:val="18"/>
                <w:szCs w:val="18"/>
              </w:rPr>
              <w:t xml:space="preserve">დამტ.:</w:t>
            </w:r>
          </w:p>
        </w:tc>
        <w:tc>
          <w:tcPr>
            <w:tcW w:w="5400" w:type="dxa"/>
          </w:tcPr>
          <w:p>
            <w:pPr>
              <w:jc w:val="left"/>
            </w:pPr>
            <w:r>
              <w:rPr>
                <w:rFonts w:ascii="Sylfaen" w:hAnsi="Sylfaen" w:cs="Sylfaen"/>
                <w:color w:val="1B3A5C"/>
                <w:sz w:val="18"/>
                <w:szCs w:val="18"/>
              </w:rPr>
              <w:t xml:space="preserve">დირექტორი</w:t>
            </w:r>
          </w:p>
        </w:tc>
      </w:tr>
    </w:tbl>
    <w:p>
      <w:pPr>
        <w:jc w:val="center"/>
        <w:spacing w:before="120" w:after="0"/>
      </w:pPr>
    </w:p>
    <w:p>
      <w:pPr>
        <w:jc w:val="center"/>
        <w:spacing w:before="0" w:after="60"/>
      </w:pPr>
      <w:r>
        <w:rPr>
          <w:rFonts w:ascii="Sylfaen" w:hAnsi="Sylfaen" w:cs="Sylfaen"/>
          <w:color w:val="1B3A5C"/>
          <w:sz w:val="18"/>
          <w:szCs w:val="18"/>
        </w:rPr>
        <w:t xml:space="preserve">ვერსია: 2.0  |  04.06.2026</w:t>
      </w:r>
    </w:p>
    <w:p>
      <w:pPr>
        <w:pBdr>
          <w:bottom w:val="single" w:sz="8" w:space="1" w:color="2E75B6"/>
        </w:pBdr>
        <w:spacing w:before="200" w:after="200"/>
      </w:pPr>
    </w:p>
    <w:p>
      <w:pPr>
        <w:jc w:val="center"/>
        <w:spacing w:before="40" w:after="40"/>
      </w:pPr>
      <w:r>
        <w:rPr>
          <w:i/>
          <w:rFonts w:ascii="Sylfaen" w:hAnsi="Sylfaen" w:cs="Sylfaen"/>
          <w:color w:val="808080"/>
          <w:sz w:val="18"/>
          <w:szCs w:val="18"/>
        </w:rPr>
        <w:t xml:space="preserve">კ ო ნ ფ ი დ ე ნ ც ი ა ლ უ რ ი — მხოლოდ შიდა გამოყენებისთვის</w:t>
      </w:r>
    </w:p>
    <w:p>
      <w:r>
        <w:br w:type="page"/>
      </w:r>
    </w:p>
    <w:p>
      <w:pPr>
        <w:jc w:val="center"/>
        <w:shd w:val="clear" w:color="auto" w:fill="1B3A5C"/>
        <w:spacing w:before="120" w:after="120"/>
      </w:pPr>
      <w:r>
        <w:rPr>
          <w:rFonts w:ascii="Sylfaen" w:hAnsi="Sylfaen"/>
          <w:sz w:val="28"/>
          <w:b/>
          <w:color w:val="FFFFFF"/>
        </w:rPr>
        <w:t xml:space="preserve">შპს ბილდექს ექსპერტიზა</w:t>
      </w:r>
    </w:p>
    <w:p>
      <w:pPr>
        <w:jc w:val="center"/>
        <w:shd w:val="clear" w:color="auto" w:fill="2E75B6"/>
        <w:spacing w:before="120" w:after="120"/>
      </w:pPr>
      <w:r>
        <w:rPr>
          <w:rFonts w:ascii="Sylfaen" w:hAnsi="Sylfaen"/>
          <w:sz w:val="20"/>
          <w:color w:val="FFFFFF"/>
        </w:rPr>
        <w:t xml:space="preserve">ს/კ 431188010 | ქ. თელავი, ლიონიძის ქ. 22 | buildexexpertise@gmail.com</w:t>
      </w:r>
    </w:p>
    <w:p>
      <w:pPr>
        <w:jc w:val="center"/>
        <w:spacing w:before="600" w:after="0"/>
      </w:pPr>
    </w:p>
    <w:p>
      <w:pPr>
        <w:jc w:val="center"/>
        <w:spacing w:before="0" w:after="80"/>
      </w:pPr>
      <w:r>
        <w:rPr>
          <w:rFonts w:ascii="Sylfaen" w:hAnsi="Sylfaen"/>
          <w:sz w:val="22"/>
          <w:color w:val="2E75B6"/>
        </w:rPr>
        <w:t xml:space="preserve">ᲡᲐᲛᲣᲨᲐᲝ ᲘᲜᲡᲢᲠᲣᲥᲪᲘᲐ</w:t>
      </w:r>
    </w:p>
    <w:p>
      <w:pPr>
        <w:jc w:val="center"/>
        <w:spacing w:before="0" w:after="160"/>
      </w:pPr>
      <w:r>
        <w:rPr>
          <w:rFonts w:ascii="Sylfaen" w:hAnsi="Sylfaen"/>
          <w:sz w:val="48"/>
          <w:b/>
          <w:color w:val="1B3A5C"/>
        </w:rPr>
        <w:t xml:space="preserve">BE-WI-03</w:t>
      </w:r>
    </w:p>
    <w:p>
      <w:pPr>
        <w:pBdr>
          <w:bottom w:val="single" w:sz="18" w:color="2E75B6"/>
        </w:pBdr>
        <w:spacing w:before="0" w:after="0"/>
      </w:pPr>
    </w:p>
    <w:p>
      <w:pPr>
        <w:jc w:val="center"/>
        <w:spacing w:before="200" w:after="0"/>
      </w:pPr>
    </w:p>
    <w:p>
      <w:pPr>
        <w:jc w:val="center"/>
        <w:spacing w:before="0" w:after="400"/>
      </w:pPr>
      <w:r>
        <w:rPr>
          <w:rFonts w:ascii="Sylfaen" w:hAnsi="Sylfaen"/>
          <w:sz w:val="32"/>
          <w:b/>
          <w:color w:val="1B3A5C"/>
        </w:rPr>
        <w:t xml:space="preserve">ფასწარმოქმნის ადეკვატურობის შემოწმება</w:t>
      </w:r>
    </w:p>
    <w:p>
      <w:pPr>
        <w:jc w:val="center"/>
        <w:spacing w:before="400" w:after="0"/>
      </w:pPr>
    </w:p>
    <w:p>
      <w:pPr>
        <w:jc w:val="center"/>
        <w:spacing w:before="0" w:after="80"/>
      </w:pPr>
      <w:r>
        <w:rPr>
          <w:rFonts w:ascii="Sylfaen" w:hAnsi="Sylfaen"/>
          <w:sz w:val="20"/>
          <w:color w:val="555555"/>
        </w:rPr>
        <w:t xml:space="preserve">ვერსია: 2.0 | თარიღი: 04.06.2026 | სტატუსი: მოქმედი</w:t>
      </w:r>
    </w:p>
    <w:p>
      <w:pPr>
        <w:jc w:val="center"/>
        <w:spacing w:before="0" w:after="80"/>
      </w:pPr>
      <w:r>
        <w:rPr>
          <w:rFonts w:ascii="Sylfaen" w:hAnsi="Sylfaen"/>
          <w:sz w:val="20"/>
          <w:color w:val="2E75B6"/>
        </w:rPr>
        <w:t xml:space="preserve">სსტ ისო/იეკ 17020:2012/2013 — A ტიპის ინსპექტირების ორგანო</w:t>
      </w:r>
    </w:p>
    <w:p>
      <w:pPr>
        <w:jc w:val="center"/>
        <w:spacing w:before="0" w:after="400"/>
      </w:pPr>
      <w:r>
        <w:rPr>
          <w:rFonts w:ascii="Sylfaen" w:hAnsi="Sylfaen"/>
          <w:sz w:val="20"/>
          <w:color w:val="555555"/>
        </w:rPr>
        <w:t xml:space="preserve">საქართველოს აკრედიტაციის ეროვნული ცენტრი (GAC)</w:t>
      </w:r>
    </w:p>
    <w:p>
      <w:pPr>
        <w:jc w:val="center"/>
        <w:spacing w:before="400" w:after="0"/>
      </w:pPr>
    </w:p>
    <w:p>
      <w:pPr>
        <w:pBdr>
          <w:bottom w:val="single" w:sz="18" w:color="2E75B6"/>
        </w:pBdr>
        <w:spacing w:before="0" w:after="0"/>
      </w:pPr>
    </w:p>
    <w:p>
      <w:pPr>
        <w:jc w:val="center"/>
        <w:spacing w:before="80" w:after="80"/>
      </w:pPr>
      <w:r>
        <w:rPr>
          <w:rFonts w:ascii="Sylfaen" w:hAnsi="Sylfaen"/>
          <w:sz w:val="18"/>
          <w:color w:val="888888"/>
        </w:rPr>
        <w:t xml:space="preserve">კონფიდენციალური — მხოლოდ შიდა გამოყენებისთვის</w:t>
      </w:r>
    </w:p>
    <w:p>
      <w:r>
        <w:br w:type="page"/>
      </w:r>
    </w:p>
    <w:p>
      <w:pPr>
        <w:jc w:val="center"/>
      </w:pPr>
      <w:r>
        <w:rPr>
          <w:b/>
          <w:color w:val="1F4E79"/>
          <w:sz w:val="36"/>
        </w:rPr>
        <w:t>შპს „ბილდექს ექსპერტიზა”</w:t>
      </w:r>
    </w:p>
    <w:p>
      <w:pPr>
        <w:jc w:val="center"/>
      </w:pPr>
      <w:r>
        <w:rPr>
          <w:sz w:val="20"/>
        </w:rPr>
        <w:t xml:space="preserve">ს/კ 431188010 | ქ. თელავი, ლიონიძის ქ. 22 | buildexexpertise@gmail.com | +995 511 747 400</w:t>
        <w:br/>
        <w:t/>
      </w:r>
    </w:p>
    <w:p/>
    <w:p/>
    <w:p>
      <w:pPr>
        <w:jc w:val="center"/>
      </w:pPr>
      <w:r>
        <w:rPr>
          <w:b/>
          <w:color w:val="1F4E79"/>
          <w:sz w:val="56"/>
        </w:rPr>
        <w:t xml:space="preserve">BE-WI-03</w:t>
      </w:r>
    </w:p>
    <w:p>
      <w:pPr>
        <w:jc w:val="center"/>
      </w:pPr>
      <w:r>
        <w:rPr>
          <w:b/>
          <w:sz w:val="40"/>
        </w:rPr>
        <w:t>ხარჯთაღრიცხვის ფასწარმოქმნის ადეკვატურობის ინსპექტირება — სამუშაო ინსტრუქცია</w:t>
      </w:r>
    </w:p>
    <w:p>
      <w:pPr>
        <w:jc w:val="center"/>
      </w:pPr>
      <w:r>
        <w:rPr>
          <w:i/>
          <w:sz w:val="24"/>
        </w:rPr>
        <w:t>ფასების შემოწმება, საბაზრო შედარება, ერთეული ფასების ვერიფიკაცია</w:t>
      </w:r>
    </w:p>
    <w:p/>
    <w:tbl>
      <w:tblPr>
        <w:tblStyle w:val="TableGrid"/>
        <w:tblW w:type="auto" w:w="0"/>
        <w:tblLook w:firstColumn="1" w:firstRow="1" w:lastColumn="0" w:lastRow="0" w:noHBand="0" w:noVBand="1" w:val="04A0"/>
      </w:tblPr>
      <w:tblGrid>
        <w:gridCol w:w="4320"/>
        <w:gridCol w:w="4320"/>
      </w:tblGrid>
      <w:tr>
        <w:tc>
          <w:tcPr>
            <w:tcW w:type="dxa" w:w="4320"/>
          </w:tcPr>
          <w:p>
            <w:r>
              <w:rPr>
                <w:rFonts w:ascii="Sylfaen" w:hAnsi="Sylfaen"/>
                <w:b/>
                <w:sz w:val="20"/>
              </w:rPr>
              <w:t>დოკუმენტის დასახელება</w:t>
            </w:r>
          </w:p>
        </w:tc>
        <w:tc>
          <w:tcPr>
            <w:tcW w:type="dxa" w:w="4320"/>
          </w:tcPr>
          <w:p>
            <w:r>
              <w:rPr>
                <w:rFonts w:ascii="Sylfaen" w:hAnsi="Sylfaen"/>
                <w:sz w:val="20"/>
              </w:rPr>
              <w:t>ხარჯთაღრიცხვის ფასწარმოქმნის ადეკვატურობის ინსპექტირება — სამუშაო ინსტრუქცია</w:t>
            </w:r>
          </w:p>
        </w:tc>
      </w:tr>
      <w:tr>
        <w:tc>
          <w:tcPr>
            <w:tcW w:type="dxa" w:w="4320"/>
          </w:tcPr>
          <w:p>
            <w:r>
              <w:rPr>
                <w:rFonts w:ascii="Sylfaen" w:hAnsi="Sylfaen"/>
                <w:b/>
                <w:sz w:val="20"/>
              </w:rPr>
              <w:t>დოკუმენტის კოდი</w:t>
            </w:r>
          </w:p>
        </w:tc>
        <w:tc>
          <w:tcPr>
            <w:tcW w:type="dxa" w:w="4320"/>
          </w:tcPr>
          <w:p>
            <w:r>
              <w:rPr>
                <w:rFonts w:ascii="Sylfaen" w:hAnsi="Sylfaen"/>
                <w:sz w:val="20"/>
              </w:rPr>
              <w:t xml:space="preserve">BE-WI-03</w:t>
            </w:r>
          </w:p>
        </w:tc>
      </w:tr>
      <w:tr>
        <w:tc>
          <w:tcPr>
            <w:tcW w:type="dxa" w:w="4320"/>
          </w:tcPr>
          <w:p>
            <w:r>
              <w:rPr>
                <w:rFonts w:ascii="Sylfaen" w:hAnsi="Sylfaen"/>
                <w:b/>
                <w:sz w:val="20"/>
              </w:rPr>
              <w:t>ვერსია / გამოცემა</w:t>
            </w:r>
          </w:p>
        </w:tc>
        <w:tc>
          <w:tcPr>
            <w:tcW w:type="dxa" w:w="4320"/>
          </w:tcPr>
          <w:p>
            <w:r>
              <w:rPr>
                <w:rFonts w:ascii="Sylfaen" w:hAnsi="Sylfaen"/>
                <w:sz w:val="20"/>
              </w:rPr>
              <w:t>2.0  მეორე რედაქცია</w:t>
            </w:r>
          </w:p>
        </w:tc>
      </w:tr>
      <w:tr>
        <w:tc>
          <w:tcPr>
            <w:tcW w:type="dxa" w:w="4320"/>
          </w:tcPr>
          <w:p>
            <w:r>
              <w:rPr>
                <w:rFonts w:ascii="Sylfaen" w:hAnsi="Sylfaen"/>
                <w:b/>
                <w:sz w:val="20"/>
              </w:rPr>
              <w:t>დოკუმენტის დონე</w:t>
            </w:r>
          </w:p>
        </w:tc>
        <w:tc>
          <w:tcPr>
            <w:tcW w:type="dxa" w:w="4320"/>
          </w:tcPr>
          <w:p>
            <w:r>
              <w:rPr>
                <w:rFonts w:ascii="Sylfaen" w:hAnsi="Sylfaen"/>
                <w:sz w:val="20"/>
              </w:rPr>
              <w:t xml:space="preserve">III დონე — სამუშაო ინსტრუქცია</w:t>
            </w:r>
          </w:p>
        </w:tc>
      </w:tr>
      <w:tr>
        <w:tc>
          <w:tcPr>
            <w:tcW w:type="dxa" w:w="4320"/>
          </w:tcPr>
          <w:p>
            <w:r>
              <w:rPr>
                <w:rFonts w:ascii="Sylfaen" w:hAnsi="Sylfaen"/>
                <w:b/>
                <w:sz w:val="20"/>
              </w:rPr>
              <w:t>მფლობელი</w:t>
            </w:r>
          </w:p>
        </w:tc>
        <w:tc>
          <w:tcPr>
            <w:tcW w:type="dxa" w:w="4320"/>
          </w:tcPr>
          <w:p>
            <w:r>
              <w:rPr>
                <w:rFonts w:ascii="Sylfaen" w:hAnsi="Sylfaen"/>
                <w:sz w:val="20"/>
              </w:rPr>
              <w:t>დირექტორი / ხარისხის მენეჯერი</w:t>
            </w:r>
          </w:p>
        </w:tc>
      </w:tr>
      <w:tr>
        <w:tc>
          <w:tcPr>
            <w:tcW w:type="dxa" w:w="4320"/>
          </w:tcPr>
          <w:p>
            <w:r>
              <w:rPr>
                <w:rFonts w:ascii="Sylfaen" w:hAnsi="Sylfaen"/>
                <w:b/>
                <w:sz w:val="20"/>
              </w:rPr>
              <w:t>გადახედვის პერიოდულობა</w:t>
            </w:r>
          </w:p>
        </w:tc>
        <w:tc>
          <w:tcPr>
            <w:tcW w:type="dxa" w:w="4320"/>
          </w:tcPr>
          <w:p>
            <w:r>
              <w:rPr>
                <w:rFonts w:ascii="Sylfaen" w:hAnsi="Sylfaen"/>
                <w:sz w:val="20"/>
              </w:rPr>
              <w:t>არანაკლებ 12 თვეში ერთხელ ან მნიშვნელოვანი ცვლილების შემთხვევაში</w:t>
            </w:r>
          </w:p>
        </w:tc>
      </w:tr>
      <w:tr>
        <w:tc>
          <w:tcPr>
            <w:tcW w:type="dxa" w:w="4320"/>
          </w:tcPr>
          <w:p>
            <w:r>
              <w:rPr>
                <w:rFonts w:ascii="Sylfaen" w:hAnsi="Sylfaen"/>
                <w:b/>
                <w:sz w:val="20"/>
              </w:rPr>
              <w:t>სტატუსი</w:t>
            </w:r>
          </w:p>
        </w:tc>
        <w:tc>
          <w:tcPr>
            <w:tcW w:type="dxa" w:w="4320"/>
          </w:tcPr>
          <w:p>
            <w:r>
              <w:rPr>
                <w:rFonts w:ascii="Sylfaen" w:hAnsi="Sylfaen"/>
                <w:sz w:val="20"/>
              </w:rPr>
              <w:t>კონტროლირებადი დოკუმენტი</w:t>
            </w:r>
          </w:p>
        </w:tc>
      </w:tr>
      <w:tr>
        <w:tc>
          <w:tcPr>
            <w:tcW w:type="dxa" w:w="4320"/>
          </w:tcPr>
          <w:p>
            <w:r>
              <w:rPr>
                <w:rFonts w:ascii="Sylfaen" w:hAnsi="Sylfaen"/>
                <w:b/>
                <w:sz w:val="20"/>
              </w:rPr>
              <w:t>გავრცელება</w:t>
            </w:r>
          </w:p>
        </w:tc>
        <w:tc>
          <w:tcPr>
            <w:tcW w:type="dxa" w:w="4320"/>
          </w:tcPr>
          <w:p>
            <w:r>
              <w:rPr>
                <w:rFonts w:ascii="Sylfaen" w:hAnsi="Sylfaen"/>
                <w:sz w:val="20"/>
              </w:rPr>
              <w:t>ორგანიზაციის შიდა გამოყენება; მოთხოვნის შემთხვევაში — აკრედიტაციის ორგანოსათვის</w:t>
            </w:r>
          </w:p>
        </w:tc>
      </w:tr>
    </w:tbl>
    <w:p/>
    <w:tbl>
      <w:tblPr>
        <w:tblStyle w:val="TableGrid"/>
        <w:tblW w:type="auto" w:w="0"/>
        <w:tblLook w:firstColumn="1" w:firstRow="1" w:lastColumn="0" w:lastRow="0" w:noHBand="0" w:noVBand="1" w:val="04A0"/>
      </w:tblPr>
      <w:tblGrid>
        <w:gridCol w:w="2880"/>
        <w:gridCol w:w="2880"/>
        <w:gridCol w:w="2880"/>
      </w:tblGrid>
      <w:tr>
        <w:tc>
          <w:tcPr>
            <w:tcW w:type="dxa" w:w="2880"/>
          </w:tcPr>
          <w:p>
            <w:r>
              <w:rPr>
                <w:rFonts w:ascii="Sylfaen" w:hAnsi="Sylfaen"/>
                <w:b/>
                <w:sz w:val="22"/>
              </w:rPr>
              <w:t>შემუშავებული</w:t>
            </w:r>
          </w:p>
        </w:tc>
        <w:tc>
          <w:tcPr>
            <w:tcW w:type="dxa" w:w="2880"/>
          </w:tcPr>
          <w:p>
            <w:r>
              <w:rPr>
                <w:rFonts w:ascii="Sylfaen" w:hAnsi="Sylfaen"/>
                <w:b/>
                <w:sz w:val="22"/>
              </w:rPr>
              <w:t>შემოწმებული</w:t>
            </w:r>
          </w:p>
        </w:tc>
        <w:tc>
          <w:tcPr>
            <w:tcW w:type="dxa" w:w="2880"/>
          </w:tcPr>
          <w:p>
            <w:r>
              <w:rPr>
                <w:rFonts w:ascii="Sylfaen" w:hAnsi="Sylfaen"/>
                <w:b/>
                <w:sz w:val="22"/>
              </w:rPr>
              <w:t>დამტკიცებული</w:t>
            </w:r>
          </w:p>
        </w:tc>
      </w:tr>
      <w:tr>
        <w:tc>
          <w:tcPr>
            <w:tcW w:type="dxa" w:w="2880"/>
          </w:tcPr>
          <w:p>
            <w:r>
              <w:rPr>
                <w:rFonts w:ascii="Sylfaen" w:hAnsi="Sylfaen"/>
                <w:sz w:val="20"/>
              </w:rPr>
              <w:t>ხარისხის მენეჯერი</w:t>
              <w:br/>
              <w:br/>
              <w:t>ხელმოწერა:_____________</w:t>
              <w:br/>
              <w:br/>
              <w:t>თარიღი:_____________</w:t>
            </w:r>
          </w:p>
        </w:tc>
        <w:tc>
          <w:tcPr>
            <w:tcW w:type="dxa" w:w="2880"/>
          </w:tcPr>
          <w:p>
            <w:r>
              <w:rPr>
                <w:rFonts w:ascii="Sylfaen" w:hAnsi="Sylfaen"/>
                <w:sz w:val="20"/>
              </w:rPr>
              <w:t>ტექნიკური მენეჯერი</w:t>
              <w:br/>
              <w:br/>
              <w:t>ხელმოწერა:_____________</w:t>
              <w:br/>
              <w:br/>
              <w:t>თარიღი:_____________</w:t>
            </w:r>
          </w:p>
        </w:tc>
        <w:tc>
          <w:tcPr>
            <w:tcW w:type="dxa" w:w="2880"/>
          </w:tcPr>
          <w:p>
            <w:r>
              <w:rPr>
                <w:rFonts w:ascii="Sylfaen" w:hAnsi="Sylfaen"/>
                <w:sz w:val="20"/>
              </w:rPr>
              <w:t>დირექტორი — ლევან საჩიშვილი</w:t>
              <w:br/>
              <w:br/>
              <w:t>ხელმოწერა:_____________</w:t>
              <w:br/>
              <w:br/>
              <w:t>თარიღი:_____________</w:t>
            </w:r>
          </w:p>
        </w:tc>
      </w:tr>
    </w:tbl>
    <w:p/>
    <w:p>
      <w:pPr>
        <w:pStyle w:val="Heading2"/>
      </w:pPr>
      <w:r>
        <w:t>ცვლილებების ისტორია</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sz w:val="20"/>
              </w:rPr>
              <w:t>ვერსია</w:t>
            </w:r>
          </w:p>
        </w:tc>
        <w:tc>
          <w:tcPr>
            <w:tcW w:type="dxa" w:w="2160"/>
          </w:tcPr>
          <w:p>
            <w:r>
              <w:rPr>
                <w:b/>
                <w:sz w:val="20"/>
              </w:rPr>
              <w:t>თარიღი</w:t>
            </w:r>
          </w:p>
        </w:tc>
        <w:tc>
          <w:tcPr>
            <w:tcW w:type="dxa" w:w="2160"/>
          </w:tcPr>
          <w:p>
            <w:r>
              <w:rPr>
                <w:b/>
                <w:sz w:val="20"/>
              </w:rPr>
              <w:t>ცვლილების აღწერა</w:t>
            </w:r>
          </w:p>
        </w:tc>
        <w:tc>
          <w:tcPr>
            <w:tcW w:type="dxa" w:w="2160"/>
          </w:tcPr>
          <w:p>
            <w:r>
              <w:rPr>
                <w:b/>
                <w:sz w:val="20"/>
              </w:rPr>
              <w:t>დამტკიცა</w:t>
            </w:r>
          </w:p>
        </w:tc>
      </w:tr>
      <w:tr>
        <w:tc>
          <w:tcPr>
            <w:tcW w:type="dxa" w:w="2160"/>
          </w:tcPr>
          <w:p>
            <w:r>
              <w:rPr>
                <w:rFonts w:ascii="Sylfaen" w:hAnsi="Sylfaen"/>
                <w:sz w:val="20"/>
              </w:rPr>
              <w:t>2.0</w:t>
            </w:r>
          </w:p>
        </w:tc>
        <w:tc>
          <w:tcPr>
            <w:tcW w:type="dxa" w:w="2160"/>
          </w:tcPr>
          <w:p>
            <w:r>
              <w:rPr>
                <w:rFonts w:ascii="Sylfaen" w:hAnsi="Sylfaen"/>
                <w:sz w:val="20"/>
              </w:rPr>
              <w:t xml:space="preserve">2026 წლის 4 ივნისი (განახლება ISO 17020:2012/2013-ისთვის)</w:t>
            </w:r>
          </w:p>
        </w:tc>
        <w:tc>
          <w:tcPr>
            <w:tcW w:type="dxa" w:w="2160"/>
          </w:tcPr>
          <w:p>
            <w:r>
              <w:rPr>
                <w:rFonts w:ascii="Sylfaen" w:hAnsi="Sylfaen"/>
                <w:sz w:val="20"/>
              </w:rPr>
              <w:t>მეორე გამოცემა — ISO/IEC 17020:2012/2013-თან შესაბამისობაში მოყვანილი</w:t>
            </w:r>
          </w:p>
        </w:tc>
        <w:tc>
          <w:tcPr>
            <w:tcW w:type="dxa" w:w="2160"/>
          </w:tcPr>
          <w:p>
            <w:r>
              <w:rPr>
                <w:rFonts w:ascii="Sylfaen" w:hAnsi="Sylfaen"/>
                <w:sz w:val="20"/>
              </w:rPr>
              <w:t>ლევან საჩიშვილი</w:t>
            </w:r>
          </w:p>
        </w:tc>
      </w:tr>
    </w:tbl>
    <w:p/>
    <w:p>
      <w:r>
        <w:rPr>
          <w:i/>
          <w:sz w:val="20"/>
        </w:rPr>
        <w:t>დოკუმენტის ელექტრონული ვერსია ინახება ორგანიზაციის კონტროლირებად საცავში. ნაბეჭდი ასლები ითვლება უკონტროლო ასლებად, თუ მათზე ცალკე არ არის აღნიშნული „კონტროლირებადი ასლი”.</w:t>
      </w:r>
    </w:p>
    <w:p>
      <w:r>
        <w:br w:type="page"/>
      </w:r>
    </w:p>
    <w:tbl>
      <w:tblPr>
        <w:tblW w:w="9000" w:type="dxa"/>
        <w:tblBorders>
          <w:top w:val="none" w:sz="0" w:color="auto"/>
          <w:left w:val="none" w:sz="0" w:color="auto"/>
          <w:bottom w:val="none" w:sz="0" w:color="auto"/>
          <w:right w:val="none" w:sz="0" w:color="auto"/>
          <w:insideH w:val="none" w:sz="0" w:color="auto"/>
          <w:insideV w:val="none" w:sz="0" w:color="auto"/>
        </w:tblBorders>
        <w:tblCellMar>
          <w:top w:w="0" w:type="dxa"/>
          <w:left w:w="0" w:type="dxa"/>
          <w:bottom w:w="0" w:type="dxa"/>
          <w:right w:w="0" w:type="dxa"/>
        </w:tblCellMar>
      </w:tblPr>
      <w:tblGrid>
        <w:gridCol w:w="9000"/>
      </w:tblGrid>
      <w:tr>
        <w:tc>
          <w:tcPr>
            <w:tcW w:w="9000" w:type="dxa"/>
            <w:shd w:val="clear" w:color="auto" w:fill="EBF5FB"/>
            <w:tcBorders>
              <w:top w:val="none" w:sz="0" w:color="auto"/>
              <w:left w:val="single" w:sz="12" w:color="1A5276"/>
              <w:bottom w:val="none" w:sz="0" w:color="auto"/>
              <w:right w:val="none" w:sz="0" w:color="auto"/>
            </w:tcBorders>
            <w:tcMar>
              <w:top w:w="60" w:type="dxa"/>
              <w:left w:w="180" w:type="dxa"/>
              <w:bottom w:w="60" w:type="dxa"/>
              <w:right w:w="120" w:type="dxa"/>
            </w:tcMar>
          </w:tcPr>
          <w:p>
            <w:pPr>
              <w:spacing w:before="60" w:after="60"/>
            </w:pPr>
            <w:r>
              <w:rPr>
                <w:b/>
                <w:sz w:val="20"/>
                <w:color w:val="1A5276"/>
              </w:rPr>
              <w:t xml:space="preserve">🔧  სამუშაო ინსტრუქცია — ნაბიჯ-ნაბიჯ ინსტრუქტაჟი ინსპექტორისთვის:</w:t>
            </w:r>
          </w:p>
          <w:p>
            <w:pPr>
              <w:spacing w:before="60" w:after="60"/>
            </w:pPr>
            <w:r>
              <w:rPr>
                <w:sz w:val="18"/>
                <w:color w:val="333333"/>
              </w:rPr>
              <w:t xml:space="preserve">ეს ინსტრუქცია (კი, ინსტრუქცია — ანუ კონკრეტული ნაბიჯები) განუმარტავს ინსპექტორს, ფასის ადეკვატურობის შეფასებისას:</w:t>
            </w:r>
          </w:p>
          <w:p>
            <w:pPr>
              <w:spacing w:before="60" w:after="60"/>
            </w:pPr>
            <w:r>
              <w:rPr>
                <w:sz w:val="18"/>
                <w:color w:val="333333"/>
              </w:rPr>
              <w:t xml:space="preserve">→ საიდან მოიძიო ბაზრის ფასები (კომერციული შეთავაზებები, ე.წ. "ოფერტები"; ინტერნეტი; კვარტალური ფასები)</w:t>
            </w:r>
          </w:p>
          <w:p>
            <w:pPr>
              <w:spacing w:before="60" w:after="60"/>
            </w:pPr>
            <w:r>
              <w:rPr>
                <w:sz w:val="18"/>
                <w:color w:val="333333"/>
              </w:rPr>
              <w:t xml:space="preserve">→ ფასების შედარებისას რა ფაქტორები გაითვალისწინე (ლოკაცია, სეზონი, მინიმალური შეკვეთის რაოდენობა)</w:t>
            </w:r>
          </w:p>
          <w:p>
            <w:pPr>
              <w:spacing w:before="60" w:after="60"/>
            </w:pPr>
            <w:r>
              <w:rPr>
                <w:sz w:val="18"/>
                <w:color w:val="333333"/>
              </w:rPr>
              <w:t xml:space="preserve">→ "ფასების შედარების ცხრილი" (BE-FM-COMPARE) — ჩვენი შიდა Excel-შაბლონი — როგორ შეავსო</w:t>
            </w:r>
          </w:p>
        </w:tc>
      </w:tr>
    </w:tbl>
    <w:p>
      <w:pPr>
        <w:pStyle w:val="Heading1"/>
      </w:pPr>
      <w:r>
        <w:rPr>
          <w:rFonts w:ascii="Sylfaen" w:hAnsi="Sylfaen"/>
          <w:color w:val="1F4E79"/>
          <w:sz w:val="32"/>
        </w:rPr>
        <w:t>1. მიზანი</w:t>
      </w:r>
    </w:p>
    <w:p>
      <w:pPr/>
      <w:r>
        <w:rPr/>
        <w:t xml:space="preserve">წინამდებარე სამუშაო ინსტრუქცია (BE-WI-03) წარმოადგენს ინსპექტირების პროცედურა BE-PR-01-ის დაქვემდებარებულ III დონის ოპერაციულ დოკუმენტს და ვრცელდება QM-01-ის §1.2-ით განსაზღვრულ ინსპექტირების სფეროზე — ხარჯთაღრიცხვის ფასწარმოქმნის ადეკვატურობის შეფასებაზე.</w:t>
      </w:r>
    </w:p>
    <w:p>
      <w:r>
        <w:rPr>
          <w:rFonts w:ascii="Sylfaen" w:hAnsi="Sylfaen"/>
          <w:b w:val="0"/>
          <w:i w:val="0"/>
          <w:sz w:val="22"/>
        </w:rPr>
        <w:t>ფასწარმოქმნის ადეკვატურობის შეფასება არ არის მხოლოდ საბაზრო ფასის მოძიება. ინსპექტორმა უნდა გაითვალისწინოს დრო, ლოკაცია, მიწოდების პირობა, რაოდენობა, ბრენდი, ტექნიკური სპეციფიკა, ტრანსპორტირება, სეზონური ეფექტი და ნებისმიერი სხვა ფაქტორი, რომელიც რეალურად ცვლის ერთეულის ღირებულებას.</w:t>
      </w:r>
    </w:p>
    <w:p>
      <w:pPr>
        <w:pStyle w:val="Heading1"/>
      </w:pPr>
      <w:r>
        <w:rPr>
          <w:rFonts w:ascii="Sylfaen" w:hAnsi="Sylfaen"/>
          <w:color w:val="1F4E79"/>
          <w:sz w:val="32"/>
        </w:rPr>
        <w:t>2. გამოყენებადობა</w:t>
      </w:r>
    </w:p>
    <w:p>
      <w:r>
        <w:rPr>
          <w:rFonts w:ascii="Sylfaen" w:hAnsi="Sylfaen"/>
          <w:b w:val="0"/>
          <w:i w:val="0"/>
          <w:sz w:val="22"/>
        </w:rPr>
        <w:t>ინსტრუქცია გამოიყენება იმ შემთხვევებში, როცა დამკვეთს სურს დარწმუნდეს, რომ:</w:t>
      </w:r>
    </w:p>
    <w:p>
      <w:pPr>
        <w:pStyle w:val="ListBullet"/>
      </w:pPr>
      <w:r>
        <w:rPr>
          <w:rFonts w:ascii="Sylfaen" w:hAnsi="Sylfaen"/>
          <w:sz w:val="22"/>
        </w:rPr>
        <w:t>ხარჯთაღრიცხვის ფასები ადეკვატურია მოცემული ლოკაციისა და დროისთვის</w:t>
      </w:r>
    </w:p>
    <w:p>
      <w:pPr>
        <w:pStyle w:val="ListBullet"/>
      </w:pPr>
      <w:r>
        <w:rPr>
          <w:rFonts w:ascii="Sylfaen" w:hAnsi="Sylfaen"/>
          <w:sz w:val="22"/>
        </w:rPr>
        <w:t>СРФ ან ანალოგი ფასების წყარო სწორად გამოყენებულია</w:t>
      </w:r>
    </w:p>
    <w:p>
      <w:pPr>
        <w:pStyle w:val="ListBullet"/>
      </w:pPr>
      <w:r>
        <w:rPr>
          <w:rFonts w:ascii="Sylfaen" w:hAnsi="Sylfaen"/>
          <w:sz w:val="22"/>
        </w:rPr>
        <w:t>მასალების ფასები საბაზრო დონეზეა (არ არის გადამეტებული)</w:t>
      </w:r>
    </w:p>
    <w:p>
      <w:pPr>
        <w:pStyle w:val="ListBullet"/>
      </w:pPr>
      <w:r>
        <w:rPr>
          <w:rFonts w:ascii="Sylfaen" w:hAnsi="Sylfaen"/>
          <w:sz w:val="22"/>
        </w:rPr>
        <w:t>შრომითი ერთეულის ფასი ENIR-ის ფარგლებშია</w:t>
      </w:r>
    </w:p>
    <w:p>
      <w:pPr>
        <w:pStyle w:val="ListBullet"/>
      </w:pPr>
      <w:r>
        <w:rPr>
          <w:rFonts w:ascii="Sylfaen" w:hAnsi="Sylfaen"/>
          <w:sz w:val="22"/>
        </w:rPr>
        <w:t>ფასწარმოქმნა ხდება ერთზე მეტი წყაროდან (აუცილებელია)</w:t>
      </w:r>
    </w:p>
    <w:p>
      <w:pPr>
        <w:pStyle w:val="Heading1"/>
      </w:pPr>
      <w:r>
        <w:rPr>
          <w:rFonts w:ascii="Sylfaen" w:hAnsi="Sylfaen"/>
          <w:color w:val="1F4E79"/>
          <w:sz w:val="32"/>
        </w:rPr>
        <w:t>3. წინაპირობები — დოკუმენტაცია</w:t>
      </w:r>
    </w:p>
    <w:p>
      <w:pPr>
        <w:pStyle w:val="Heading3"/>
      </w:pPr>
      <w:r>
        <w:rPr>
          <w:b/>
          <w:sz w:val="24"/>
          <w:szCs w:val="24"/>
        </w:rPr>
        <w:t xml:space="preserve">ფოტო- და ვიდეოფიქსაციის სავალდებულო მოთხოვნა (QM-01 §10.4.1)</w:t>
      </w:r>
    </w:p>
    <w:p>
      <w:pPr/>
      <w:r>
        <w:rPr/>
        <w:t xml:space="preserve">სამშენებლო ობიექტის ნებისმიერი საველე ინსპექტირებისას ფოტო- და, საჭიროების შემთხვევაში, ვიდეოფიქსაცია სავალდებულოა. თითოეული ფოტო- ან ვიდეომასალა უნდა შეიცავდეს გადაღების თარიღსა და ზუსტ დროს (timestamp), ხოლო ტექნიკური შესაძლებლობის არსებობისას — აგრეთვე გეოლოკაციურ მონაცემს. დაუშვებელია ისეთი ფოტო- ან ვიდეომასალის გამოყენება, რომელსაც არ აქვს ერთმნიშვნელოვნად დადასტურებადი თარიღი, დრო და კონკრეტულ ობიექტთან კავშირი. ეს მოთხოვნა ეფუძნება ხარისხის სახელმძღვანელო QM-01-ის §10.4.1 პუნქტს.</w:t>
      </w:r>
    </w:p>
    <w:p>
      <w:pPr/>
      <w:r>
        <w:rPr/>
        <w:t xml:space="preserve">ფოტო- და ვიდეომასალა აღირიცხება ფოტოდოკუმენტაციის ჟურნალში (BE-FM-PHOTO-LOG) და საველე ჟურნალში (BE-FM-FIELD-LOG), მიებმება შესაბამის მიგნებას ინსპექტირების ანგარიშში (BE-FM-IR) და ინახება საქმის ფაილში მისი მთლიანობისა და მიკვლევადობის უზრუნველმყოფი ფორმით. ფოტო- და ვიდეოფიქსაცია წარმოადგენს მტკიცებულებითი ჯაჭვის სავალდებულო ელემენტს და მისი არარსებობა მიიჩნევა ჩანაწერების სისრულის ხარვეზად (ISO/IEC 17020 §7.3, §7.4).</w:t>
      </w:r>
    </w:p>
    <w:p>
      <w:pPr>
        <w:pStyle w:val="Heading3"/>
      </w:pPr>
      <w:r>
        <w:rPr>
          <w:b/>
          <w:sz w:val="24"/>
          <w:szCs w:val="24"/>
        </w:rPr>
        <w:t xml:space="preserve">ინსპექტორის ავტორიზაცია და კომპეტენცია (ISO/IEC 17020 §5.1.3, §6.2.6, §6.2.7)</w:t>
      </w:r>
    </w:p>
    <w:p>
      <w:pPr/>
      <w:r>
        <w:rPr/>
        <w:t xml:space="preserve">წინამდებარე სამუშაო ინსტრუქციით გათვალისწინებული ინსპექტირება უნდა განახორციელოს მხოლოდ იმ პერსონალმა, რომელიც ფორმალურად ავტორიზებულია ამ კონკრეტული საქმიანობის სფეროში. ISO/IEC 17020:2012/2013-ის §6.2.6 პუნქტის შესაბამისად, ორგანო ფორმალურად ანიჭებს თითოეულ ინსპექტორს უფლებამოსილებას ინსპექტირების, შედეგების მიმოხილვის, დასკვნის ხელმოწერისა და ანგარიშის გაცემის კონკრეტული ფუნქციების შესასრულებლად. ავტორიზაცია დოკუმენტირდება ორგანიზაციის ავტორიზაციის რეესტრში და კომპეტენციის დამადასტურებელ ფორმაში (BE-FM-COMP, BE-FM-COMP-CHECK).</w:t>
      </w:r>
    </w:p>
    <w:p>
      <w:pPr/>
      <w:r>
        <w:rPr/>
        <w:t xml:space="preserve">ინსპექტორის კომპეტენცია განისაზღვრება, ფასდება და შენარჩუნდება ISO/IEC 17020-ის §6.1 და §5.1.3 პუნქტებისა და კომპეტენციის მართვის პროცედურის შესაბამისად. ინსპექტორს ბოლო 12 თვის განმავლობაში გავლილი უნდა ჰქონდეს ადგილზე დაკვირვებითი (Witness) ან ეკვივალენტური შეფასება (ISO §6.1.7). ავტორიზაციის გარეშე ან მისი ფარგლების გარეთ ინსპექტირების განხორციელება დაუშვებელია; ნებისმიერი გადახრა ფიქსირდება როგორც შეუსაბამობა (ISO §6.2.7).</w:t>
      </w:r>
    </w:p>
    <w:p>
      <w:pPr>
        <w:pStyle w:val="ListBullet"/>
      </w:pPr>
      <w:r>
        <w:rPr>
          <w:rFonts w:ascii="Sylfaen" w:hAnsi="Sylfaen"/>
          <w:sz w:val="22"/>
        </w:rPr>
        <w:t>სრული პროექტი + ხარჯთაღრიცხვა</w:t>
      </w:r>
    </w:p>
    <w:p>
      <w:pPr>
        <w:pStyle w:val="ListBullet"/>
      </w:pPr>
      <w:r>
        <w:rPr>
          <w:rFonts w:ascii="Sylfaen" w:hAnsi="Sylfaen"/>
          <w:sz w:val="22"/>
        </w:rPr>
        <w:t>ხარჯთაღრიცხვაში გამოყენებული СРФ (МШК) კვარტალი — დათარიღება</w:t>
      </w:r>
    </w:p>
    <w:p>
      <w:pPr>
        <w:pStyle w:val="ListBullet"/>
      </w:pPr>
      <w:r>
        <w:rPr>
          <w:rFonts w:ascii="Sylfaen" w:hAnsi="Sylfaen"/>
          <w:sz w:val="22"/>
        </w:rPr>
        <w:t>მომწოდებლების კომერციული შეთავაზებები (თუ აქვთ)</w:t>
      </w:r>
    </w:p>
    <w:p>
      <w:pPr>
        <w:pStyle w:val="ListBullet"/>
      </w:pPr>
      <w:r>
        <w:rPr>
          <w:rFonts w:ascii="Sylfaen" w:hAnsi="Sylfaen"/>
          <w:sz w:val="22"/>
        </w:rPr>
        <w:t>მომწოდებლების ფასების კატალოგები (Caparol, Knauf, Anaklia, Heidelberg და ა.შ.)</w:t>
      </w:r>
    </w:p>
    <w:p>
      <w:pPr>
        <w:pStyle w:val="ListBullet"/>
      </w:pPr>
      <w:r>
        <w:rPr>
          <w:rFonts w:ascii="Sylfaen" w:hAnsi="Sylfaen"/>
          <w:sz w:val="22"/>
        </w:rPr>
        <w:t>Internet წყაროები — შესყიდვების პორტალები (state.gov.ge — ტენდრები; მარილი.ge; სხვა)</w:t>
      </w:r>
    </w:p>
    <w:p>
      <w:pPr>
        <w:pStyle w:val="Heading1"/>
      </w:pPr>
      <w:r>
        <w:rPr>
          <w:rFonts w:ascii="Sylfaen" w:hAnsi="Sylfaen"/>
          <w:color w:val="1F4E79"/>
          <w:sz w:val="32"/>
        </w:rPr>
        <w:t>4. ნორმატიული საფუძველი</w:t>
      </w:r>
    </w:p>
    <w:tbl>
      <w:tblPr>
        <w:tblStyle w:val="TableGrid"/>
        <w:tblW w:type="auto" w:w="0"/>
        <w:tblLook w:firstColumn="1" w:firstRow="1" w:lastColumn="0" w:lastRow="0" w:noHBand="0" w:noVBand="1" w:val="04A0"/>
      </w:tblPr>
      <w:tblGrid>
        <w:gridCol w:w="2880"/>
        <w:gridCol w:w="2880"/>
        <w:gridCol w:w="2880"/>
      </w:tblGrid>
      <w:tr>
        <w:tc>
          <w:tcPr>
            <w:tcW w:type="dxa" w:w="2880"/>
          </w:tcPr>
          <w:p>
            <w:r>
              <w:rPr>
                <w:rFonts w:ascii="Sylfaen" w:hAnsi="Sylfaen"/>
                <w:b/>
                <w:sz w:val="20"/>
              </w:rPr>
              <w:t>კოდი</w:t>
            </w:r>
          </w:p>
        </w:tc>
        <w:tc>
          <w:tcPr>
            <w:tcW w:type="dxa" w:w="2880"/>
          </w:tcPr>
          <w:p>
            <w:r>
              <w:rPr>
                <w:rFonts w:ascii="Sylfaen" w:hAnsi="Sylfaen"/>
                <w:b/>
                <w:sz w:val="20"/>
              </w:rPr>
              <w:t>დოკუმენტი</w:t>
            </w:r>
          </w:p>
        </w:tc>
        <w:tc>
          <w:tcPr>
            <w:tcW w:type="dxa" w:w="2880"/>
          </w:tcPr>
          <w:p>
            <w:r>
              <w:rPr>
                <w:rFonts w:ascii="Sylfaen" w:hAnsi="Sylfaen"/>
                <w:b/>
                <w:sz w:val="20"/>
              </w:rPr>
              <w:t>გამოყენება</w:t>
            </w:r>
          </w:p>
        </w:tc>
      </w:tr>
      <w:tr>
        <w:tc>
          <w:tcPr>
            <w:tcW w:type="dxa" w:w="2880"/>
          </w:tcPr>
          <w:p>
            <w:r>
              <w:rPr>
                <w:rFonts w:ascii="Sylfaen" w:hAnsi="Sylfaen"/>
                <w:sz w:val="20"/>
              </w:rPr>
              <w:t>ISO-1</w:t>
            </w:r>
          </w:p>
        </w:tc>
        <w:tc>
          <w:tcPr>
            <w:tcW w:type="dxa" w:w="2880"/>
          </w:tcPr>
          <w:p>
            <w:r>
              <w:rPr>
                <w:rFonts w:ascii="Sylfaen" w:hAnsi="Sylfaen"/>
                <w:sz w:val="20"/>
              </w:rPr>
              <w:t xml:space="preserve">ISO/IEC 17020:2012/2013 §7.1.1 (და §7.1.2/§7.1.3 ნიმუშის აღების ნაწილისთვის)</w:t>
            </w:r>
          </w:p>
        </w:tc>
        <w:tc>
          <w:tcPr>
            <w:tcW w:type="dxa" w:w="2880"/>
          </w:tcPr>
          <w:p>
            <w:r>
              <w:rPr>
                <w:rFonts w:ascii="Sylfaen" w:hAnsi="Sylfaen"/>
                <w:sz w:val="20"/>
              </w:rPr>
              <w:t>მეთოდოლოგია</w:t>
            </w:r>
          </w:p>
        </w:tc>
      </w:tr>
      <w:tr>
        <w:tc>
          <w:tcPr>
            <w:tcW w:type="dxa" w:w="2880"/>
          </w:tcPr>
          <w:p>
            <w:r>
              <w:rPr>
                <w:rFonts w:ascii="Sylfaen" w:hAnsi="Sylfaen"/>
                <w:sz w:val="20"/>
              </w:rPr>
              <w:t>CRF</w:t>
            </w:r>
          </w:p>
        </w:tc>
        <w:tc>
          <w:tcPr>
            <w:tcW w:type="dxa" w:w="2880"/>
          </w:tcPr>
          <w:p>
            <w:r>
              <w:rPr>
                <w:rFonts w:ascii="Sylfaen" w:hAnsi="Sylfaen"/>
                <w:sz w:val="20"/>
              </w:rPr>
              <w:t>СРФ (МШК)</w:t>
            </w:r>
          </w:p>
        </w:tc>
        <w:tc>
          <w:tcPr>
            <w:tcW w:type="dxa" w:w="2880"/>
          </w:tcPr>
          <w:p>
            <w:r>
              <w:rPr>
                <w:rFonts w:ascii="Sylfaen" w:hAnsi="Sylfaen"/>
                <w:sz w:val="20"/>
              </w:rPr>
              <w:t>სამშენებლო რესურსების ფასები</w:t>
            </w:r>
          </w:p>
        </w:tc>
      </w:tr>
      <w:tr>
        <w:tc>
          <w:tcPr>
            <w:tcW w:type="dxa" w:w="2880"/>
          </w:tcPr>
          <w:p>
            <w:r>
              <w:rPr>
                <w:rFonts w:ascii="Sylfaen" w:hAnsi="Sylfaen"/>
                <w:sz w:val="20"/>
              </w:rPr>
              <w:t>GE-DEC-4</w:t>
            </w:r>
          </w:p>
        </w:tc>
        <w:tc>
          <w:tcPr>
            <w:tcW w:type="dxa" w:w="2880"/>
          </w:tcPr>
          <w:p>
            <w:r>
              <w:rPr>
                <w:rFonts w:ascii="Sylfaen" w:hAnsi="Sylfaen"/>
                <w:sz w:val="20"/>
              </w:rPr>
              <w:t>მთავრობის №52 (2019)</w:t>
            </w:r>
          </w:p>
        </w:tc>
        <w:tc>
          <w:tcPr>
            <w:tcW w:type="dxa" w:w="2880"/>
          </w:tcPr>
          <w:p>
            <w:r>
              <w:rPr>
                <w:rFonts w:ascii="Sylfaen" w:hAnsi="Sylfaen"/>
                <w:sz w:val="20"/>
              </w:rPr>
              <w:t>ფასწარმოქმნის წესი</w:t>
            </w:r>
          </w:p>
        </w:tc>
      </w:tr>
      <w:tr>
        <w:tc>
          <w:tcPr>
            <w:tcW w:type="dxa" w:w="2880"/>
          </w:tcPr>
          <w:p>
            <w:r>
              <w:rPr>
                <w:rFonts w:ascii="Sylfaen" w:hAnsi="Sylfaen"/>
                <w:sz w:val="20"/>
              </w:rPr>
              <w:t>ENIR</w:t>
            </w:r>
          </w:p>
        </w:tc>
        <w:tc>
          <w:tcPr>
            <w:tcW w:type="dxa" w:w="2880"/>
          </w:tcPr>
          <w:p>
            <w:r>
              <w:rPr>
                <w:rFonts w:ascii="Sylfaen" w:hAnsi="Sylfaen"/>
                <w:sz w:val="20"/>
              </w:rPr>
              <w:t>სამშენებლო სამუშაოების ნორმატიული სახელმძღვანელო (ЕНиР)</w:t>
            </w:r>
          </w:p>
        </w:tc>
        <w:tc>
          <w:tcPr>
            <w:tcW w:type="dxa" w:w="2880"/>
          </w:tcPr>
          <w:p>
            <w:r>
              <w:rPr>
                <w:rFonts w:ascii="Sylfaen" w:hAnsi="Sylfaen"/>
                <w:sz w:val="20"/>
              </w:rPr>
              <w:t>შრომითი ნორმები / ერთეული</w:t>
            </w:r>
          </w:p>
        </w:tc>
      </w:tr>
      <w:tr>
        <w:tc>
          <w:tcPr>
            <w:tcW w:type="dxa" w:w="2880"/>
          </w:tcPr>
          <w:p>
            <w:r>
              <w:rPr>
                <w:rFonts w:ascii="Sylfaen" w:hAnsi="Sylfaen"/>
                <w:sz w:val="20"/>
              </w:rPr>
              <w:t>RUS-1</w:t>
            </w:r>
          </w:p>
        </w:tc>
        <w:tc>
          <w:tcPr>
            <w:tcW w:type="dxa" w:w="2880"/>
          </w:tcPr>
          <w:p>
            <w:r>
              <w:rPr>
                <w:rFonts w:ascii="Sylfaen" w:hAnsi="Sylfaen"/>
                <w:sz w:val="20"/>
              </w:rPr>
              <w:t>სამშენებლო ნორმები და წესები სამშენებლო ნორმები და წესები (СНиП) IV-2-82 (სამშენებლო სამუშაოების ღირებულების განსაზღვრა)</w:t>
            </w:r>
          </w:p>
        </w:tc>
        <w:tc>
          <w:tcPr>
            <w:tcW w:type="dxa" w:w="2880"/>
          </w:tcPr>
          <w:p>
            <w:r>
              <w:rPr>
                <w:rFonts w:ascii="Sylfaen" w:hAnsi="Sylfaen"/>
                <w:sz w:val="20"/>
              </w:rPr>
              <w:t>ხარჯთაღრიცხვის შედგენის წესი</w:t>
            </w:r>
          </w:p>
        </w:tc>
      </w:tr>
    </w:tbl>
    <w:p>
      <w:r>
        <w:br w:type="page"/>
      </w:r>
    </w:p>
    <w:p>
      <w:pPr>
        <w:pStyle w:val="Heading1"/>
      </w:pPr>
      <w:r>
        <w:rPr>
          <w:rFonts w:ascii="Sylfaen" w:hAnsi="Sylfaen"/>
          <w:color w:val="1F4E79"/>
          <w:sz w:val="32"/>
        </w:rPr>
        <w:t>5. ნაბიჯ-ნაბიჯი მეთოდოლოგია</w:t>
      </w:r>
    </w:p>
    <w:p>
      <w:pPr>
        <w:pStyle w:val="Heading2"/>
      </w:pPr>
      <w:r>
        <w:rPr>
          <w:rFonts w:ascii="Sylfaen" w:hAnsi="Sylfaen"/>
          <w:color w:val="2E74B5"/>
          <w:sz w:val="26"/>
        </w:rPr>
        <w:t>ნაბიჯი 1 — ფასობრივი ბაზის იდენტიფიცირება</w:t>
      </w:r>
    </w:p>
    <w:p>
      <w:pPr>
        <w:pStyle w:val="ListNumber"/>
      </w:pPr>
      <w:r>
        <w:rPr>
          <w:rFonts w:ascii="Sylfaen" w:hAnsi="Sylfaen"/>
          <w:sz w:val="22"/>
        </w:rPr>
        <w:t xml:space="preserve">ხარჯთაღრიცხვაში გამოყენებული СРФ კვარტალი (მაგ: 2026 წ. I კვარტალი) — ფიქსაცია BE-FM-PRICE-BASE-ში.</w:t>
      </w:r>
    </w:p>
    <w:p>
      <w:pPr>
        <w:pStyle w:val="ListNumber"/>
      </w:pPr>
      <w:r>
        <w:rPr>
          <w:rFonts w:ascii="Sylfaen" w:hAnsi="Sylfaen"/>
          <w:sz w:val="22"/>
        </w:rPr>
        <w:t>ხელშეკრულების ფასიანი ბაზის წესი (გასათვალისწინებელია ცვლილებები) — დოკუმენტირება.</w:t>
      </w:r>
    </w:p>
    <w:p>
      <w:pPr>
        <w:pStyle w:val="ListNumber"/>
      </w:pPr>
      <w:r>
        <w:rPr>
          <w:rFonts w:ascii="Sylfaen" w:hAnsi="Sylfaen"/>
          <w:sz w:val="22"/>
        </w:rPr>
        <w:t>თუ ხარჯთაღრიცხვა გამოიყენება ანალოგი ობიექტების მონაცემები — წყაროების ფიქსაცია.</w:t>
      </w:r>
    </w:p>
    <w:p>
      <w:pPr>
        <w:pStyle w:val="Heading2"/>
      </w:pPr>
      <w:r>
        <w:rPr>
          <w:rFonts w:ascii="Sylfaen" w:hAnsi="Sylfaen"/>
          <w:color w:val="2E74B5"/>
          <w:sz w:val="26"/>
        </w:rPr>
        <w:t>ნაბიჯი 2 — შერჩევითი ფასების შემოწმება (ნიმუშის აღება)</w:t>
      </w:r>
    </w:p>
    <w:p>
      <w:pPr>
        <w:pStyle w:val="ListNumber"/>
      </w:pPr>
      <w:r>
        <w:rPr>
          <w:rFonts w:ascii="Sylfaen" w:hAnsi="Sylfaen"/>
          <w:sz w:val="22"/>
        </w:rPr>
        <w:t>მთავარი მასალების სია — ხარჯთაღრიცხვიდან გამოვარჩიე 20 ყველაზე ძვირი / ხშირი პოზიცია.</w:t>
      </w:r>
    </w:p>
    <w:p>
      <w:pPr>
        <w:pStyle w:val="ListNumber"/>
      </w:pPr>
      <w:r>
        <w:rPr>
          <w:rFonts w:ascii="Sylfaen" w:hAnsi="Sylfaen"/>
          <w:sz w:val="22"/>
        </w:rPr>
        <w:t>ცემენტი — ბრენდი, კატეგორია (M400, M500), ერთეული (ტ ან ცალი) — ფიქსაცია.</w:t>
      </w:r>
    </w:p>
    <w:p>
      <w:pPr>
        <w:pStyle w:val="ListNumber"/>
      </w:pPr>
      <w:r>
        <w:rPr>
          <w:rFonts w:ascii="Sylfaen" w:hAnsi="Sylfaen"/>
          <w:sz w:val="22"/>
        </w:rPr>
        <w:t>ბეტონი — კატეგორია (B15, B20, B25), ერთეული (მ³).</w:t>
      </w:r>
    </w:p>
    <w:p>
      <w:pPr>
        <w:pStyle w:val="ListNumber"/>
      </w:pPr>
      <w:r>
        <w:rPr>
          <w:rFonts w:ascii="Sylfaen" w:hAnsi="Sylfaen"/>
          <w:sz w:val="22"/>
        </w:rPr>
        <w:t>არმატურა — დიამეტრი (10, 12, 16 მმ), ერთეული (ტ).</w:t>
      </w:r>
    </w:p>
    <w:p>
      <w:pPr>
        <w:pStyle w:val="ListNumber"/>
      </w:pPr>
      <w:r>
        <w:rPr>
          <w:rFonts w:ascii="Sylfaen" w:hAnsi="Sylfaen"/>
          <w:sz w:val="22"/>
        </w:rPr>
        <w:t>ტიმბერი — სახეობა, ხარისხი — ერთეული (მ³ ან მ).</w:t>
      </w:r>
    </w:p>
    <w:p>
      <w:pPr>
        <w:pStyle w:val="Heading2"/>
      </w:pPr>
      <w:r>
        <w:rPr>
          <w:rFonts w:ascii="Sylfaen" w:hAnsi="Sylfaen"/>
          <w:color w:val="2E74B5"/>
          <w:sz w:val="26"/>
        </w:rPr>
        <w:t>ნაბიჯი 3 — ფასების შედარება (3 წყაროდან მინიმუმ)</w:t>
      </w:r>
    </w:p>
    <w:p>
      <w:pPr>
        <w:pStyle w:val="ListNumber"/>
      </w:pPr>
      <w:r>
        <w:rPr>
          <w:rFonts w:ascii="Sylfaen" w:hAnsi="Sylfaen"/>
          <w:sz w:val="22"/>
        </w:rPr>
        <w:t xml:space="preserve">შექმენი ცხრილი (BE-FM-PRICE-COMPARE):</w:t>
      </w:r>
    </w:p>
    <w:tbl>
      <w:tblPr>
        <w:tblStyle w:val="TableGrid"/>
        <w:tblW w:type="auto" w:w="0"/>
        <w:tblLook w:firstColumn="1" w:firstRow="1" w:lastColumn="0" w:lastRow="0" w:noHBand="0" w:noVBand="1" w:val="04A0"/>
      </w:tblPr>
      <w:tblGrid>
        <w:gridCol w:w="4320"/>
        <w:gridCol w:w="4320"/>
      </w:tblGrid>
      <w:tr>
        <w:tc>
          <w:tcPr>
            <w:tcW w:type="dxa" w:w="4320"/>
          </w:tcPr>
          <w:p>
            <w:r>
              <w:rPr>
                <w:rFonts w:ascii="Sylfaen" w:hAnsi="Sylfaen"/>
                <w:b/>
                <w:sz w:val="20"/>
              </w:rPr>
              <w:t>სვეტი</w:t>
            </w:r>
          </w:p>
        </w:tc>
        <w:tc>
          <w:tcPr>
            <w:tcW w:type="dxa" w:w="4320"/>
          </w:tcPr>
          <w:p>
            <w:r>
              <w:rPr>
                <w:rFonts w:ascii="Sylfaen" w:hAnsi="Sylfaen"/>
                <w:b/>
                <w:sz w:val="20"/>
              </w:rPr>
              <w:t>შინაარსი</w:t>
            </w:r>
          </w:p>
        </w:tc>
      </w:tr>
      <w:tr>
        <w:tc>
          <w:tcPr>
            <w:tcW w:type="dxa" w:w="4320"/>
          </w:tcPr>
          <w:p>
            <w:r>
              <w:rPr>
                <w:rFonts w:ascii="Sylfaen" w:hAnsi="Sylfaen"/>
                <w:sz w:val="20"/>
              </w:rPr>
              <w:t>A</w:t>
            </w:r>
          </w:p>
        </w:tc>
        <w:tc>
          <w:tcPr>
            <w:tcW w:type="dxa" w:w="4320"/>
          </w:tcPr>
          <w:p>
            <w:r>
              <w:rPr>
                <w:rFonts w:ascii="Sylfaen" w:hAnsi="Sylfaen"/>
                <w:sz w:val="20"/>
              </w:rPr>
              <w:t>მასალა / რესურსი</w:t>
            </w:r>
          </w:p>
        </w:tc>
      </w:tr>
      <w:tr>
        <w:tc>
          <w:tcPr>
            <w:tcW w:type="dxa" w:w="4320"/>
          </w:tcPr>
          <w:p>
            <w:r>
              <w:rPr>
                <w:rFonts w:ascii="Sylfaen" w:hAnsi="Sylfaen"/>
                <w:sz w:val="20"/>
              </w:rPr>
              <w:t>B</w:t>
            </w:r>
          </w:p>
        </w:tc>
        <w:tc>
          <w:tcPr>
            <w:tcW w:type="dxa" w:w="4320"/>
          </w:tcPr>
          <w:p>
            <w:r>
              <w:rPr>
                <w:rFonts w:ascii="Sylfaen" w:hAnsi="Sylfaen"/>
                <w:sz w:val="20"/>
              </w:rPr>
              <w:t>ხარჯთაღრიცხვის ფასი</w:t>
            </w:r>
          </w:p>
        </w:tc>
      </w:tr>
      <w:tr>
        <w:tc>
          <w:tcPr>
            <w:tcW w:type="dxa" w:w="4320"/>
          </w:tcPr>
          <w:p>
            <w:r>
              <w:rPr>
                <w:rFonts w:ascii="Sylfaen" w:hAnsi="Sylfaen"/>
                <w:sz w:val="20"/>
              </w:rPr>
              <w:t>C</w:t>
            </w:r>
          </w:p>
        </w:tc>
        <w:tc>
          <w:tcPr>
            <w:tcW w:type="dxa" w:w="4320"/>
          </w:tcPr>
          <w:p>
            <w:r>
              <w:rPr>
                <w:rFonts w:ascii="Sylfaen" w:hAnsi="Sylfaen"/>
                <w:sz w:val="20"/>
              </w:rPr>
              <w:t>СРФ ფასი (კვარტალი)</w:t>
            </w:r>
          </w:p>
        </w:tc>
      </w:tr>
      <w:tr>
        <w:tc>
          <w:tcPr>
            <w:tcW w:type="dxa" w:w="4320"/>
          </w:tcPr>
          <w:p>
            <w:r>
              <w:rPr>
                <w:rFonts w:ascii="Sylfaen" w:hAnsi="Sylfaen"/>
                <w:sz w:val="20"/>
              </w:rPr>
              <w:t>D</w:t>
            </w:r>
          </w:p>
        </w:tc>
        <w:tc>
          <w:tcPr>
            <w:tcW w:type="dxa" w:w="4320"/>
          </w:tcPr>
          <w:p>
            <w:r>
              <w:rPr>
                <w:rFonts w:ascii="Sylfaen" w:hAnsi="Sylfaen"/>
                <w:sz w:val="20"/>
              </w:rPr>
              <w:t>მომწოდებელი 1 (ფასი)</w:t>
            </w:r>
          </w:p>
        </w:tc>
      </w:tr>
      <w:tr>
        <w:tc>
          <w:tcPr>
            <w:tcW w:type="dxa" w:w="4320"/>
          </w:tcPr>
          <w:p>
            <w:r>
              <w:rPr>
                <w:rFonts w:ascii="Sylfaen" w:hAnsi="Sylfaen"/>
                <w:sz w:val="20"/>
              </w:rPr>
              <w:t>E</w:t>
            </w:r>
          </w:p>
        </w:tc>
        <w:tc>
          <w:tcPr>
            <w:tcW w:type="dxa" w:w="4320"/>
          </w:tcPr>
          <w:p>
            <w:r>
              <w:rPr>
                <w:rFonts w:ascii="Sylfaen" w:hAnsi="Sylfaen"/>
                <w:sz w:val="20"/>
              </w:rPr>
              <w:t>მომწოდებელი 2 (ფასი)</w:t>
            </w:r>
          </w:p>
        </w:tc>
      </w:tr>
      <w:tr>
        <w:tc>
          <w:tcPr>
            <w:tcW w:type="dxa" w:w="4320"/>
          </w:tcPr>
          <w:p>
            <w:r>
              <w:rPr>
                <w:rFonts w:ascii="Sylfaen" w:hAnsi="Sylfaen"/>
                <w:sz w:val="20"/>
              </w:rPr>
              <w:t>F</w:t>
            </w:r>
          </w:p>
        </w:tc>
        <w:tc>
          <w:tcPr>
            <w:tcW w:type="dxa" w:w="4320"/>
          </w:tcPr>
          <w:p>
            <w:r>
              <w:rPr>
                <w:rFonts w:ascii="Sylfaen" w:hAnsi="Sylfaen"/>
                <w:sz w:val="20"/>
              </w:rPr>
              <w:t>Internet წყარო (ფასი)</w:t>
            </w:r>
          </w:p>
        </w:tc>
      </w:tr>
      <w:tr>
        <w:tc>
          <w:tcPr>
            <w:tcW w:type="dxa" w:w="4320"/>
          </w:tcPr>
          <w:p>
            <w:r>
              <w:rPr>
                <w:rFonts w:ascii="Sylfaen" w:hAnsi="Sylfaen"/>
                <w:sz w:val="20"/>
              </w:rPr>
              <w:t>G</w:t>
            </w:r>
          </w:p>
        </w:tc>
        <w:tc>
          <w:tcPr>
            <w:tcW w:type="dxa" w:w="4320"/>
          </w:tcPr>
          <w:p>
            <w:r>
              <w:rPr>
                <w:rFonts w:ascii="Sylfaen" w:hAnsi="Sylfaen"/>
                <w:sz w:val="20"/>
              </w:rPr>
              <w:t>საშუალო ფასი (C-F)</w:t>
            </w:r>
          </w:p>
        </w:tc>
      </w:tr>
      <w:tr>
        <w:tc>
          <w:tcPr>
            <w:tcW w:type="dxa" w:w="4320"/>
          </w:tcPr>
          <w:p>
            <w:r>
              <w:rPr>
                <w:rFonts w:ascii="Sylfaen" w:hAnsi="Sylfaen"/>
                <w:sz w:val="20"/>
              </w:rPr>
              <w:t>H</w:t>
            </w:r>
          </w:p>
        </w:tc>
        <w:tc>
          <w:tcPr>
            <w:tcW w:type="dxa" w:w="4320"/>
          </w:tcPr>
          <w:p>
            <w:r>
              <w:rPr>
                <w:rFonts w:ascii="Sylfaen" w:hAnsi="Sylfaen"/>
                <w:sz w:val="20"/>
              </w:rPr>
              <w:t>გადახრა % (B vs G)</w:t>
            </w:r>
          </w:p>
        </w:tc>
      </w:tr>
      <w:tr>
        <w:tc>
          <w:tcPr>
            <w:tcW w:type="dxa" w:w="4320"/>
          </w:tcPr>
          <w:p>
            <w:r>
              <w:rPr>
                <w:rFonts w:ascii="Sylfaen" w:hAnsi="Sylfaen"/>
                <w:sz w:val="20"/>
              </w:rPr>
              <w:t>I</w:t>
            </w:r>
          </w:p>
        </w:tc>
        <w:tc>
          <w:tcPr>
            <w:tcW w:type="dxa" w:w="4320"/>
          </w:tcPr>
          <w:p>
            <w:r>
              <w:rPr>
                <w:rFonts w:ascii="Sylfaen" w:hAnsi="Sylfaen"/>
                <w:sz w:val="20"/>
              </w:rPr>
              <w:t>კატეგორია (OK/MIN/MAJ)</w:t>
            </w:r>
          </w:p>
        </w:tc>
      </w:tr>
    </w:tbl>
    <w:p>
      <w:pPr>
        <w:pStyle w:val="ListNumber"/>
      </w:pPr>
      <w:r>
        <w:rPr>
          <w:rFonts w:ascii="Sylfaen" w:hAnsi="Sylfaen"/>
          <w:sz w:val="22"/>
        </w:rPr>
        <w:t>თითოეული მასალისთვის — შეივსე B-F. გამოთვალე საშუალო (G).</w:t>
      </w:r>
    </w:p>
    <w:p>
      <w:pPr>
        <w:pStyle w:val="ListNumber"/>
      </w:pPr>
      <w:r>
        <w:rPr>
          <w:rFonts w:ascii="Sylfaen" w:hAnsi="Sylfaen"/>
          <w:sz w:val="22"/>
        </w:rPr>
        <w:t>გადახრა % = (B - G) / G × 100.</w:t>
      </w:r>
    </w:p>
    <w:p>
      <w:pPr>
        <w:pStyle w:val="Heading2"/>
      </w:pPr>
      <w:r>
        <w:rPr>
          <w:rFonts w:ascii="Sylfaen" w:hAnsi="Sylfaen"/>
          <w:color w:val="2E74B5"/>
          <w:sz w:val="26"/>
        </w:rPr>
        <w:t>ნაბიჯი 4 — გადახრის შეფასება</w:t>
      </w:r>
    </w:p>
    <w:tbl>
      <w:tblPr>
        <w:tblStyle w:val="TableGrid"/>
        <w:tblW w:type="auto" w:w="0"/>
        <w:tblLook w:firstColumn="1" w:firstRow="1" w:lastColumn="0" w:lastRow="0" w:noHBand="0" w:noVBand="1" w:val="04A0"/>
      </w:tblPr>
      <w:tblGrid>
        <w:gridCol w:w="4320"/>
        <w:gridCol w:w="4320"/>
      </w:tblGrid>
      <w:tr>
        <w:tc>
          <w:tcPr>
            <w:tcW w:type="dxa" w:w="4320"/>
          </w:tcPr>
          <w:p>
            <w:r>
              <w:rPr>
                <w:rFonts w:ascii="Sylfaen" w:hAnsi="Sylfaen"/>
                <w:b/>
                <w:sz w:val="20"/>
              </w:rPr>
              <w:t>გადახრა %</w:t>
            </w:r>
          </w:p>
        </w:tc>
        <w:tc>
          <w:tcPr>
            <w:tcW w:type="dxa" w:w="4320"/>
          </w:tcPr>
          <w:p>
            <w:r>
              <w:rPr>
                <w:rFonts w:ascii="Sylfaen" w:hAnsi="Sylfaen"/>
                <w:b/>
                <w:sz w:val="20"/>
              </w:rPr>
              <w:t>კლასი</w:t>
            </w:r>
          </w:p>
        </w:tc>
      </w:tr>
      <w:tr>
        <w:tc>
          <w:tcPr>
            <w:tcW w:type="dxa" w:w="4320"/>
          </w:tcPr>
          <w:p>
            <w:r>
              <w:rPr>
                <w:rFonts w:ascii="Sylfaen" w:hAnsi="Sylfaen"/>
                <w:sz w:val="20"/>
              </w:rPr>
              <w:t>0-5%</w:t>
            </w:r>
          </w:p>
        </w:tc>
        <w:tc>
          <w:tcPr>
            <w:tcW w:type="dxa" w:w="4320"/>
          </w:tcPr>
          <w:p>
            <w:r>
              <w:rPr>
                <w:rFonts w:ascii="Sylfaen" w:hAnsi="Sylfaen"/>
                <w:sz w:val="20"/>
              </w:rPr>
              <w:t>OK — საბაზრო ფარგლებში</w:t>
            </w:r>
          </w:p>
        </w:tc>
      </w:tr>
      <w:tr>
        <w:tc>
          <w:tcPr>
            <w:tcW w:type="dxa" w:w="4320"/>
          </w:tcPr>
          <w:p>
            <w:r>
              <w:rPr>
                <w:rFonts w:ascii="Sylfaen" w:hAnsi="Sylfaen"/>
                <w:sz w:val="20"/>
              </w:rPr>
              <w:t>5-10%</w:t>
            </w:r>
          </w:p>
        </w:tc>
        <w:tc>
          <w:tcPr>
            <w:tcW w:type="dxa" w:w="4320"/>
          </w:tcPr>
          <w:p>
            <w:r>
              <w:rPr>
                <w:rFonts w:ascii="Sylfaen" w:hAnsi="Sylfaen"/>
                <w:sz w:val="20"/>
              </w:rPr>
              <w:t>MIN — შესაძლო ფაქტორები (ბრენდი, ლოგისტიკა)</w:t>
            </w:r>
          </w:p>
        </w:tc>
      </w:tr>
      <w:tr>
        <w:tc>
          <w:tcPr>
            <w:tcW w:type="dxa" w:w="4320"/>
          </w:tcPr>
          <w:p>
            <w:r>
              <w:rPr>
                <w:rFonts w:ascii="Sylfaen" w:hAnsi="Sylfaen"/>
                <w:sz w:val="20"/>
              </w:rPr>
              <w:t>10-20%</w:t>
            </w:r>
          </w:p>
        </w:tc>
        <w:tc>
          <w:tcPr>
            <w:tcW w:type="dxa" w:w="4320"/>
          </w:tcPr>
          <w:p>
            <w:r>
              <w:rPr>
                <w:rFonts w:ascii="Sylfaen" w:hAnsi="Sylfaen"/>
                <w:sz w:val="20"/>
              </w:rPr>
              <w:t>MAJ — გადახრა საჭიროებს დასაბუთებას</w:t>
            </w:r>
          </w:p>
        </w:tc>
      </w:tr>
      <w:tr>
        <w:tc>
          <w:tcPr>
            <w:tcW w:type="dxa" w:w="4320"/>
          </w:tcPr>
          <w:p>
            <w:r>
              <w:rPr>
                <w:rFonts w:ascii="Sylfaen" w:hAnsi="Sylfaen"/>
                <w:sz w:val="20"/>
              </w:rPr>
              <w:t>&gt; 20%</w:t>
            </w:r>
          </w:p>
        </w:tc>
        <w:tc>
          <w:tcPr>
            <w:tcW w:type="dxa" w:w="4320"/>
          </w:tcPr>
          <w:p>
            <w:r>
              <w:rPr>
                <w:rFonts w:ascii="Sylfaen" w:hAnsi="Sylfaen"/>
                <w:sz w:val="20"/>
              </w:rPr>
              <w:t>MAJ — კრიტიკული გადამეტება</w:t>
            </w:r>
          </w:p>
        </w:tc>
      </w:tr>
    </w:tbl>
    <w:p>
      <w:pPr>
        <w:pStyle w:val="ListNumber"/>
      </w:pPr>
      <w:r>
        <w:rPr>
          <w:rFonts w:ascii="Sylfaen" w:hAnsi="Sylfaen"/>
          <w:sz w:val="22"/>
        </w:rPr>
        <w:t>თითოეული გადახრის MAJ-ზე — დაკითხე კონტრაქტორი (ბრენდი? ლოგისტიკა? კონფლიქტი?).</w:t>
      </w:r>
    </w:p>
    <w:p>
      <w:pPr>
        <w:pStyle w:val="Heading2"/>
      </w:pPr>
      <w:r>
        <w:rPr>
          <w:rFonts w:ascii="Sylfaen" w:hAnsi="Sylfaen"/>
          <w:color w:val="2E74B5"/>
          <w:sz w:val="26"/>
        </w:rPr>
        <w:t>ნაბიჯი 5 — შრომითი ფასების შემოწმება</w:t>
      </w:r>
    </w:p>
    <w:p>
      <w:pPr>
        <w:pStyle w:val="ListNumber"/>
      </w:pPr>
      <w:r>
        <w:rPr>
          <w:rFonts w:ascii="Sylfaen" w:hAnsi="Sylfaen"/>
          <w:sz w:val="22"/>
        </w:rPr>
        <w:t>ხარჯთაღრიცხვიდან — მთავარი შრომითი პოზიციები (ბათქაში, რეცხვა, ბეტონი, არმატურა).</w:t>
      </w:r>
    </w:p>
    <w:p>
      <w:pPr>
        <w:pStyle w:val="ListNumber"/>
      </w:pPr>
      <w:r>
        <w:rPr>
          <w:rFonts w:ascii="Sylfaen" w:hAnsi="Sylfaen"/>
          <w:sz w:val="22"/>
        </w:rPr>
        <w:t>ENIR-ის ერთეული ფასი vs ხარჯთაღრიცხვის ერთეული ფასი — სხვაობა.</w:t>
      </w:r>
    </w:p>
    <w:p>
      <w:pPr>
        <w:pStyle w:val="ListNumber"/>
      </w:pPr>
      <w:r>
        <w:rPr>
          <w:rFonts w:ascii="Sylfaen" w:hAnsi="Sylfaen"/>
          <w:sz w:val="22"/>
        </w:rPr>
        <w:t>კოეფიციენტები — სრულდება მთავრობის №52 დადგენილების მიხედვით (ინფლაცია, რეგიონი).</w:t>
      </w:r>
    </w:p>
    <w:p>
      <w:pPr>
        <w:pStyle w:val="Heading2"/>
      </w:pPr>
      <w:r>
        <w:rPr>
          <w:rFonts w:ascii="Sylfaen" w:hAnsi="Sylfaen"/>
          <w:color w:val="2E74B5"/>
          <w:sz w:val="26"/>
        </w:rPr>
        <w:t>ნაბიჯი 6 — ლოგისტიკის და ტრანსპორტის შეფასება</w:t>
      </w:r>
    </w:p>
    <w:p>
      <w:pPr>
        <w:pStyle w:val="ListNumber"/>
      </w:pPr>
      <w:r>
        <w:rPr>
          <w:rFonts w:ascii="Sylfaen" w:hAnsi="Sylfaen"/>
          <w:sz w:val="22"/>
        </w:rPr>
        <w:t>ობიექტის მისამართი → ფასების ბაზრის ცენტრი — დისტანცია.</w:t>
      </w:r>
    </w:p>
    <w:p>
      <w:pPr>
        <w:pStyle w:val="ListNumber"/>
      </w:pPr>
      <w:r>
        <w:rPr>
          <w:rFonts w:ascii="Sylfaen" w:hAnsi="Sylfaen"/>
          <w:sz w:val="22"/>
        </w:rPr>
        <w:t>ტრანსპორტის ღირებულება — ნაკადების მიხედვით ან საშუალო ტარიფით.</w:t>
      </w:r>
    </w:p>
    <w:p>
      <w:pPr>
        <w:pStyle w:val="ListNumber"/>
      </w:pPr>
      <w:r>
        <w:rPr>
          <w:rFonts w:ascii="Sylfaen" w:hAnsi="Sylfaen"/>
          <w:sz w:val="22"/>
        </w:rPr>
        <w:t>თუ ხარჯთაღრიცხვა შეიცავს ცალკე ხაზად — დასაბუთებაა.</w:t>
      </w:r>
    </w:p>
    <w:p>
      <w:pPr>
        <w:pStyle w:val="Heading2"/>
      </w:pPr>
      <w:r>
        <w:rPr>
          <w:rFonts w:ascii="Sylfaen" w:hAnsi="Sylfaen"/>
          <w:color w:val="2E74B5"/>
          <w:sz w:val="26"/>
        </w:rPr>
        <w:t>ნაბიჯი 7 — ფინალური სინთეზი</w:t>
      </w:r>
    </w:p>
    <w:p>
      <w:pPr>
        <w:pStyle w:val="ListNumber"/>
      </w:pPr>
      <w:r>
        <w:rPr>
          <w:rFonts w:ascii="Sylfaen" w:hAnsi="Sylfaen"/>
          <w:sz w:val="22"/>
        </w:rPr>
        <w:t xml:space="preserve">BE-FM-PRICE-COMPARE-ში MAJ კლასის გადახრების ჯამი — % საერთო თანხაზე.</w:t>
      </w:r>
    </w:p>
    <w:p>
      <w:pPr>
        <w:pStyle w:val="ListNumber"/>
      </w:pPr>
      <w:r>
        <w:rPr>
          <w:rFonts w:ascii="Sylfaen" w:hAnsi="Sylfaen"/>
          <w:sz w:val="22"/>
        </w:rPr>
        <w:t>თუ MAJ-ის წილი &gt; 5% — ხარჯთაღრიცხვა არაადეკვატურად ფასდება.</w:t>
      </w:r>
    </w:p>
    <w:p>
      <w:pPr>
        <w:pStyle w:val="ListNumber"/>
      </w:pPr>
      <w:r>
        <w:rPr>
          <w:rFonts w:ascii="Sylfaen" w:hAnsi="Sylfaen"/>
          <w:sz w:val="22"/>
        </w:rPr>
        <w:t xml:space="preserve">BE-FM-FINDING-ში — თითოეული MAJ-ის ფიქსაცია მტკიცებულებებით.</w:t>
      </w:r>
    </w:p>
    <w:p>
      <w:r>
        <w:br w:type="page"/>
      </w:r>
    </w:p>
    <w:p>
      <w:pPr>
        <w:pStyle w:val="Heading1"/>
      </w:pPr>
      <w:r>
        <w:rPr>
          <w:rFonts w:ascii="Sylfaen" w:hAnsi="Sylfaen"/>
          <w:color w:val="1F4E79"/>
          <w:sz w:val="32"/>
        </w:rPr>
        <w:t>6. გამოთვლების მაგალითები</w:t>
      </w:r>
    </w:p>
    <w:p>
      <w:pPr>
        <w:pStyle w:val="Heading2"/>
      </w:pPr>
      <w:r>
        <w:rPr>
          <w:rFonts w:ascii="Sylfaen" w:hAnsi="Sylfaen"/>
          <w:color w:val="2E74B5"/>
          <w:sz w:val="26"/>
        </w:rPr>
        <w:t>მაგალითი 1 — ცემენტი M400</w:t>
      </w:r>
    </w:p>
    <w:p>
      <w:r>
        <w:rPr>
          <w:rFonts w:ascii="Sylfaen" w:hAnsi="Sylfaen"/>
          <w:b w:val="0"/>
          <w:i w:val="0"/>
          <w:sz w:val="22"/>
        </w:rPr>
        <w:t>ხარჯთაღრიცხვა: 350 ლარი/ტ.</w:t>
      </w:r>
    </w:p>
    <w:p>
      <w:r>
        <w:rPr>
          <w:rFonts w:ascii="Sylfaen" w:hAnsi="Sylfaen"/>
          <w:b w:val="0"/>
          <w:i w:val="0"/>
          <w:sz w:val="22"/>
        </w:rPr>
        <w:t>СРФ I/2026: 320 ლარი/ტ.</w:t>
      </w:r>
    </w:p>
    <w:p>
      <w:r>
        <w:rPr>
          <w:rFonts w:ascii="Sylfaen" w:hAnsi="Sylfaen"/>
          <w:b w:val="0"/>
          <w:i w:val="0"/>
          <w:sz w:val="22"/>
        </w:rPr>
        <w:t>მომწოდებელი 1 (HeidelbergCement): 310 ლარი/ტ.</w:t>
      </w:r>
    </w:p>
    <w:p>
      <w:r>
        <w:rPr>
          <w:rFonts w:ascii="Sylfaen" w:hAnsi="Sylfaen"/>
          <w:b w:val="0"/>
          <w:i w:val="0"/>
          <w:sz w:val="22"/>
        </w:rPr>
        <w:t>მომწოდებელი 2 (ანაკლია): 305 ლარი/ტ.</w:t>
      </w:r>
    </w:p>
    <w:p>
      <w:r>
        <w:rPr>
          <w:rFonts w:ascii="Sylfaen" w:hAnsi="Sylfaen"/>
          <w:b w:val="0"/>
          <w:i w:val="0"/>
          <w:sz w:val="22"/>
        </w:rPr>
        <w:t>Internet (marili.ge): 318 ლარი/ტ.</w:t>
      </w:r>
    </w:p>
    <w:p>
      <w:r>
        <w:rPr>
          <w:rFonts w:ascii="Sylfaen" w:hAnsi="Sylfaen"/>
          <w:b/>
          <w:i w:val="0"/>
          <w:sz w:val="22"/>
        </w:rPr>
        <w:t>საშუალო (გარდა ხარჯთაღრიცხვისა): (320+310+305+318)/4 = 313.25 ლარი/ტ</w:t>
      </w:r>
    </w:p>
    <w:p>
      <w:r>
        <w:rPr>
          <w:rFonts w:ascii="Sylfaen" w:hAnsi="Sylfaen"/>
          <w:b/>
          <w:i w:val="0"/>
          <w:sz w:val="22"/>
        </w:rPr>
        <w:t>გადახრა: (350 - 313.25) / 313.25 × 100 = +11.7%</w:t>
      </w:r>
    </w:p>
    <w:p>
      <w:r>
        <w:rPr>
          <w:rFonts w:ascii="Sylfaen" w:hAnsi="Sylfaen"/>
          <w:b/>
          <w:i w:val="0"/>
          <w:sz w:val="22"/>
        </w:rPr>
        <w:t>შეფასება: MAJ — ცემენტის ფასი გადამეტებულია ~12%.</w:t>
      </w:r>
    </w:p>
    <w:p>
      <w:pPr>
        <w:pStyle w:val="Heading2"/>
      </w:pPr>
      <w:r>
        <w:rPr>
          <w:rFonts w:ascii="Sylfaen" w:hAnsi="Sylfaen"/>
          <w:color w:val="2E74B5"/>
          <w:sz w:val="26"/>
        </w:rPr>
        <w:t>მაგალითი 2 — შრომა (ბათქაში)</w:t>
      </w:r>
    </w:p>
    <w:p>
      <w:r>
        <w:rPr>
          <w:rFonts w:ascii="Sylfaen" w:hAnsi="Sylfaen"/>
          <w:b w:val="0"/>
          <w:i w:val="0"/>
          <w:sz w:val="22"/>
        </w:rPr>
        <w:t>ENIR Е8-1-1: ბათქაშის ფიჭვი 1 მ² — 0.85 ფ.დღე × 30 ლარი/ფ.დღე = 25.5 ლარი/მ²</w:t>
      </w:r>
    </w:p>
    <w:p>
      <w:r>
        <w:rPr>
          <w:rFonts w:ascii="Sylfaen" w:hAnsi="Sylfaen"/>
          <w:b w:val="0"/>
          <w:i w:val="0"/>
          <w:sz w:val="22"/>
        </w:rPr>
        <w:t>ხარჯთაღრიცხვა: 35 ლარი/მ²</w:t>
      </w:r>
    </w:p>
    <w:p>
      <w:r>
        <w:rPr>
          <w:rFonts w:ascii="Sylfaen" w:hAnsi="Sylfaen"/>
          <w:b w:val="0"/>
          <w:i w:val="0"/>
          <w:sz w:val="22"/>
        </w:rPr>
        <w:t>გადახრა: (35-25.5)/25.5 = +37%</w:t>
      </w:r>
    </w:p>
    <w:p>
      <w:r>
        <w:rPr>
          <w:rFonts w:ascii="Sylfaen" w:hAnsi="Sylfaen"/>
          <w:b/>
          <w:i w:val="0"/>
          <w:sz w:val="22"/>
        </w:rPr>
        <w:t>შეფასება: MAJ — შრომითი ფასი მნიშვნელოვნად ჭარბობს ENIR-ის ნორმატივს. დასაზუსტებელია — შესაძლოა, ჩამოყრილია ღირებულებაში დამატებითი ფაქტორები (ხარისხის გაზრდა, რთული წვდომა)?</w:t>
      </w:r>
    </w:p>
    <w:p>
      <w:pPr>
        <w:pStyle w:val="Heading1"/>
      </w:pPr>
      <w:r>
        <w:rPr>
          <w:rFonts w:ascii="Sylfaen" w:hAnsi="Sylfaen"/>
          <w:color w:val="1F4E79"/>
          <w:sz w:val="32"/>
        </w:rPr>
        <w:t>7. შესაძლო პრობლემების ჩამონათვალი</w:t>
      </w:r>
    </w:p>
    <w:p>
      <w:pPr>
        <w:pStyle w:val="Heading3"/>
      </w:pPr>
      <w:r>
        <w:rPr>
          <w:b/>
          <w:sz w:val="24"/>
          <w:szCs w:val="24"/>
        </w:rPr>
        <w:t xml:space="preserve">ჩანაწერების სისრულე და მიკვლევადობა (ISO §7.1.2, §7.1.3, §7.3)</w:t>
      </w:r>
    </w:p>
    <w:p>
      <w:pPr/>
      <w:r>
        <w:rPr/>
        <w:t xml:space="preserve">ფასწარმოქმნის ადეკვატურობის შეფასების ყველა ეტაპი დოკუმენტირდება კონტროლირებად ფორმებში (BE-FM-PRICE-BASE, BE-FM-PRICE-COMPARE, BE-FM-COMPARE, BE-FM-FINDING), თითოეული ჩანაწერისთვის საქმის უნიკალური კოდის, თარიღისა და ინსპექტორის იდენტიფიკაციის მითითებით. ფასების ვერიფიკაცია ხორციელდება არანაკლებ სამი დამოუკიდებელი წყაროდან, რაც უზრუნველყოფს შეფასების ობიექტურობასა და მიკვლევადობას ISO/IEC 17020 §7.1.2, §7.1.3 და §7.3 პუნქტების შესაბამისად.</w:t>
      </w:r>
    </w:p>
    <w:tbl>
      <w:tblPr>
        <w:tblStyle w:val="TableGrid"/>
        <w:tblW w:type="auto" w:w="0"/>
        <w:tblLook w:firstColumn="1" w:firstRow="1" w:lastColumn="0" w:lastRow="0" w:noHBand="0" w:noVBand="1" w:val="04A0"/>
      </w:tblPr>
      <w:tblGrid>
        <w:gridCol w:w="2880"/>
        <w:gridCol w:w="2880"/>
        <w:gridCol w:w="2880"/>
      </w:tblGrid>
      <w:tr>
        <w:tc>
          <w:tcPr>
            <w:tcW w:type="dxa" w:w="2880"/>
          </w:tcPr>
          <w:p>
            <w:r>
              <w:rPr>
                <w:rFonts w:ascii="Sylfaen" w:hAnsi="Sylfaen"/>
                <w:b/>
                <w:sz w:val="20"/>
              </w:rPr>
              <w:t>№</w:t>
            </w:r>
          </w:p>
        </w:tc>
        <w:tc>
          <w:tcPr>
            <w:tcW w:type="dxa" w:w="2880"/>
          </w:tcPr>
          <w:p>
            <w:r>
              <w:rPr>
                <w:rFonts w:ascii="Sylfaen" w:hAnsi="Sylfaen"/>
                <w:b/>
                <w:sz w:val="20"/>
              </w:rPr>
              <w:t>პრობლემა</w:t>
            </w:r>
          </w:p>
        </w:tc>
        <w:tc>
          <w:tcPr>
            <w:tcW w:type="dxa" w:w="2880"/>
          </w:tcPr>
          <w:p>
            <w:r>
              <w:rPr>
                <w:rFonts w:ascii="Sylfaen" w:hAnsi="Sylfaen"/>
                <w:b/>
                <w:sz w:val="20"/>
              </w:rPr>
              <w:t>კლასი</w:t>
            </w:r>
          </w:p>
        </w:tc>
      </w:tr>
      <w:tr>
        <w:tc>
          <w:tcPr>
            <w:tcW w:type="dxa" w:w="2880"/>
          </w:tcPr>
          <w:p>
            <w:r>
              <w:rPr>
                <w:rFonts w:ascii="Sylfaen" w:hAnsi="Sylfaen"/>
                <w:sz w:val="20"/>
              </w:rPr>
              <w:t>1</w:t>
            </w:r>
          </w:p>
        </w:tc>
        <w:tc>
          <w:tcPr>
            <w:tcW w:type="dxa" w:w="2880"/>
          </w:tcPr>
          <w:p>
            <w:r>
              <w:rPr>
                <w:rFonts w:ascii="Sylfaen" w:hAnsi="Sylfaen"/>
                <w:sz w:val="20"/>
              </w:rPr>
              <w:t>ფასი 20% &gt; საბაზრო</w:t>
            </w:r>
          </w:p>
        </w:tc>
        <w:tc>
          <w:tcPr>
            <w:tcW w:type="dxa" w:w="2880"/>
          </w:tcPr>
          <w:p>
            <w:r>
              <w:rPr>
                <w:rFonts w:ascii="Sylfaen" w:hAnsi="Sylfaen"/>
                <w:sz w:val="20"/>
              </w:rPr>
              <w:t>MAJ</w:t>
            </w:r>
          </w:p>
        </w:tc>
      </w:tr>
      <w:tr>
        <w:tc>
          <w:tcPr>
            <w:tcW w:type="dxa" w:w="2880"/>
          </w:tcPr>
          <w:p>
            <w:r>
              <w:rPr>
                <w:rFonts w:ascii="Sylfaen" w:hAnsi="Sylfaen"/>
                <w:sz w:val="20"/>
              </w:rPr>
              <w:t>2</w:t>
            </w:r>
          </w:p>
        </w:tc>
        <w:tc>
          <w:tcPr>
            <w:tcW w:type="dxa" w:w="2880"/>
          </w:tcPr>
          <w:p>
            <w:r>
              <w:rPr>
                <w:rFonts w:ascii="Sylfaen" w:hAnsi="Sylfaen"/>
                <w:sz w:val="20"/>
              </w:rPr>
              <w:t>ფასი 10-20% &gt; საბაზრო</w:t>
            </w:r>
          </w:p>
        </w:tc>
        <w:tc>
          <w:tcPr>
            <w:tcW w:type="dxa" w:w="2880"/>
          </w:tcPr>
          <w:p>
            <w:r>
              <w:rPr>
                <w:rFonts w:ascii="Sylfaen" w:hAnsi="Sylfaen"/>
                <w:sz w:val="20"/>
              </w:rPr>
              <w:t>MAJ</w:t>
            </w:r>
          </w:p>
        </w:tc>
      </w:tr>
      <w:tr>
        <w:tc>
          <w:tcPr>
            <w:tcW w:type="dxa" w:w="2880"/>
          </w:tcPr>
          <w:p>
            <w:r>
              <w:rPr>
                <w:rFonts w:ascii="Sylfaen" w:hAnsi="Sylfaen"/>
                <w:sz w:val="20"/>
              </w:rPr>
              <w:t>3</w:t>
            </w:r>
          </w:p>
        </w:tc>
        <w:tc>
          <w:tcPr>
            <w:tcW w:type="dxa" w:w="2880"/>
          </w:tcPr>
          <w:p>
            <w:r>
              <w:rPr>
                <w:rFonts w:ascii="Sylfaen" w:hAnsi="Sylfaen"/>
                <w:sz w:val="20"/>
              </w:rPr>
              <w:t>ფასი 5-10% &gt; საბაზრო</w:t>
            </w:r>
          </w:p>
        </w:tc>
        <w:tc>
          <w:tcPr>
            <w:tcW w:type="dxa" w:w="2880"/>
          </w:tcPr>
          <w:p>
            <w:r>
              <w:rPr>
                <w:rFonts w:ascii="Sylfaen" w:hAnsi="Sylfaen"/>
                <w:sz w:val="20"/>
              </w:rPr>
              <w:t>MIN</w:t>
            </w:r>
          </w:p>
        </w:tc>
      </w:tr>
      <w:tr>
        <w:tc>
          <w:tcPr>
            <w:tcW w:type="dxa" w:w="2880"/>
          </w:tcPr>
          <w:p>
            <w:r>
              <w:rPr>
                <w:rFonts w:ascii="Sylfaen" w:hAnsi="Sylfaen"/>
                <w:sz w:val="20"/>
              </w:rPr>
              <w:t>4</w:t>
            </w:r>
          </w:p>
        </w:tc>
        <w:tc>
          <w:tcPr>
            <w:tcW w:type="dxa" w:w="2880"/>
          </w:tcPr>
          <w:p>
            <w:r>
              <w:rPr>
                <w:rFonts w:ascii="Sylfaen" w:hAnsi="Sylfaen"/>
                <w:sz w:val="20"/>
              </w:rPr>
              <w:t>მხოლოდ 1 წყარო გამოყენებულია</w:t>
            </w:r>
          </w:p>
        </w:tc>
        <w:tc>
          <w:tcPr>
            <w:tcW w:type="dxa" w:w="2880"/>
          </w:tcPr>
          <w:p>
            <w:r>
              <w:rPr>
                <w:rFonts w:ascii="Sylfaen" w:hAnsi="Sylfaen"/>
                <w:sz w:val="20"/>
              </w:rPr>
              <w:t>MAJ — მინიმუმ 2 უნდა იყოს</w:t>
            </w:r>
          </w:p>
        </w:tc>
      </w:tr>
      <w:tr>
        <w:tc>
          <w:tcPr>
            <w:tcW w:type="dxa" w:w="2880"/>
          </w:tcPr>
          <w:p>
            <w:r>
              <w:rPr>
                <w:rFonts w:ascii="Sylfaen" w:hAnsi="Sylfaen"/>
                <w:sz w:val="20"/>
              </w:rPr>
              <w:t>5</w:t>
            </w:r>
          </w:p>
        </w:tc>
        <w:tc>
          <w:tcPr>
            <w:tcW w:type="dxa" w:w="2880"/>
          </w:tcPr>
          <w:p>
            <w:r>
              <w:rPr>
                <w:rFonts w:ascii="Sylfaen" w:hAnsi="Sylfaen"/>
                <w:sz w:val="20"/>
              </w:rPr>
              <w:t>СРФ კვარტალი არასწორი (ძველი)</w:t>
            </w:r>
          </w:p>
        </w:tc>
        <w:tc>
          <w:tcPr>
            <w:tcW w:type="dxa" w:w="2880"/>
          </w:tcPr>
          <w:p>
            <w:r>
              <w:rPr>
                <w:rFonts w:ascii="Sylfaen" w:hAnsi="Sylfaen"/>
                <w:sz w:val="20"/>
              </w:rPr>
              <w:t>MAJ</w:t>
            </w:r>
          </w:p>
        </w:tc>
      </w:tr>
      <w:tr>
        <w:tc>
          <w:tcPr>
            <w:tcW w:type="dxa" w:w="2880"/>
          </w:tcPr>
          <w:p>
            <w:r>
              <w:rPr>
                <w:rFonts w:ascii="Sylfaen" w:hAnsi="Sylfaen"/>
                <w:sz w:val="20"/>
              </w:rPr>
              <w:t>6</w:t>
            </w:r>
          </w:p>
        </w:tc>
        <w:tc>
          <w:tcPr>
            <w:tcW w:type="dxa" w:w="2880"/>
          </w:tcPr>
          <w:p>
            <w:r>
              <w:rPr>
                <w:rFonts w:ascii="Sylfaen" w:hAnsi="Sylfaen"/>
                <w:sz w:val="20"/>
              </w:rPr>
              <w:t>ბრენდი არ არის ცალსახად მითითებული</w:t>
            </w:r>
          </w:p>
        </w:tc>
        <w:tc>
          <w:tcPr>
            <w:tcW w:type="dxa" w:w="2880"/>
          </w:tcPr>
          <w:p>
            <w:r>
              <w:rPr>
                <w:rFonts w:ascii="Sylfaen" w:hAnsi="Sylfaen"/>
                <w:sz w:val="20"/>
              </w:rPr>
              <w:t>MIN</w:t>
            </w:r>
          </w:p>
        </w:tc>
      </w:tr>
      <w:tr>
        <w:tc>
          <w:tcPr>
            <w:tcW w:type="dxa" w:w="2880"/>
          </w:tcPr>
          <w:p>
            <w:r>
              <w:rPr>
                <w:rFonts w:ascii="Sylfaen" w:hAnsi="Sylfaen"/>
                <w:sz w:val="20"/>
              </w:rPr>
              <w:t>7</w:t>
            </w:r>
          </w:p>
        </w:tc>
        <w:tc>
          <w:tcPr>
            <w:tcW w:type="dxa" w:w="2880"/>
          </w:tcPr>
          <w:p>
            <w:r>
              <w:rPr>
                <w:rFonts w:ascii="Sylfaen" w:hAnsi="Sylfaen"/>
                <w:sz w:val="20"/>
              </w:rPr>
              <w:t>ტრანსპორტი დუბლირებულია</w:t>
            </w:r>
          </w:p>
        </w:tc>
        <w:tc>
          <w:tcPr>
            <w:tcW w:type="dxa" w:w="2880"/>
          </w:tcPr>
          <w:p>
            <w:r>
              <w:rPr>
                <w:rFonts w:ascii="Sylfaen" w:hAnsi="Sylfaen"/>
                <w:sz w:val="20"/>
              </w:rPr>
              <w:t>MAJ</w:t>
            </w:r>
          </w:p>
        </w:tc>
      </w:tr>
      <w:tr>
        <w:tc>
          <w:tcPr>
            <w:tcW w:type="dxa" w:w="2880"/>
          </w:tcPr>
          <w:p>
            <w:r>
              <w:rPr>
                <w:rFonts w:ascii="Sylfaen" w:hAnsi="Sylfaen"/>
                <w:sz w:val="20"/>
              </w:rPr>
              <w:t>8</w:t>
            </w:r>
          </w:p>
        </w:tc>
        <w:tc>
          <w:tcPr>
            <w:tcW w:type="dxa" w:w="2880"/>
          </w:tcPr>
          <w:p>
            <w:r>
              <w:rPr>
                <w:rFonts w:ascii="Sylfaen" w:hAnsi="Sylfaen"/>
                <w:sz w:val="20"/>
              </w:rPr>
              <w:t>შრომითი ფასი &gt; ENIR + ინფლაცია</w:t>
            </w:r>
          </w:p>
        </w:tc>
        <w:tc>
          <w:tcPr>
            <w:tcW w:type="dxa" w:w="2880"/>
          </w:tcPr>
          <w:p>
            <w:r>
              <w:rPr>
                <w:rFonts w:ascii="Sylfaen" w:hAnsi="Sylfaen"/>
                <w:sz w:val="20"/>
              </w:rPr>
              <w:t>MIN/MAJ</w:t>
            </w:r>
          </w:p>
        </w:tc>
      </w:tr>
    </w:tbl>
    <w:p>
      <w:pPr>
        <w:pStyle w:val="Heading1"/>
      </w:pPr>
      <w:r>
        <w:rPr>
          <w:rFonts w:ascii="Sylfaen" w:hAnsi="Sylfaen"/>
          <w:color w:val="1F4E79"/>
          <w:sz w:val="32"/>
        </w:rPr>
        <w:t>8. დასკვნის ფორმულირება</w:t>
      </w:r>
    </w:p>
    <w:p>
      <w:r>
        <w:rPr>
          <w:rFonts w:ascii="Sylfaen" w:hAnsi="Sylfaen"/>
          <w:b/>
          <w:i w:val="0"/>
          <w:sz w:val="22"/>
        </w:rPr>
        <w:t>ფასწარმოქმნა ადეკვატურია — საერთო გადახრა &lt; 5%, MAJ-ი არ არის.</w:t>
      </w:r>
    </w:p>
    <w:p>
      <w:r>
        <w:rPr>
          <w:rFonts w:ascii="Sylfaen" w:hAnsi="Sylfaen"/>
          <w:b/>
          <w:i w:val="0"/>
          <w:sz w:val="22"/>
        </w:rPr>
        <w:t>ფასწარმოქმნა ნაწილობრივ ადეკვატურია — გადახრა 5-10%, MIN პრობლემები.</w:t>
      </w:r>
    </w:p>
    <w:p>
      <w:r>
        <w:rPr>
          <w:rFonts w:ascii="Sylfaen" w:hAnsi="Sylfaen"/>
          <w:b/>
          <w:i w:val="0"/>
          <w:sz w:val="22"/>
        </w:rPr>
        <w:t>ფასწარმოქმნა არაადეკვატურია — გადახრა &gt; 10% ან მნიშვნელოვანი MAJ-ი.</w:t>
      </w:r>
    </w:p>
    <w:sectPr w:rsidR="00FC693F" w:rsidRPr="0006063C" w:rsidSect="00034616">
      <w:headerReference w:type="default" r:id="rId9"/>
      <w:foot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Sylfaen" w:hAnsi="Sylfaen"/>
        <w:sz w:val="18"/>
      </w:rPr>
      <w:t xml:space="preserve">შპს „ბილდექს ექსპერტიზა” | BE-WI-03 | ვერსია 2.0 | </w:t>
    </w:r>
    <w:r>
      <w:rPr>
        <w:rFonts w:ascii="Sylfaen" w:hAnsi="Sylfaen"/>
        <w:sz w:val="18"/>
      </w:rPr>
      <w:fldChar w:fldCharType="begin"/>
      <w:instrText>PAGE</w:instrText>
      <w:fldChar w:fldCharType="end"/>
    </w:r>
  </w:p>
</w:ftr>
</file>

<file path=word/header1.xml><?xml version="1.0" encoding="utf-8"?>
<w:hdr xmlns:mc="http://schemas.openxmlformats.org/markup-compatibility/2006" xmlns:r="http://schemas.openxmlformats.org/officeDocument/2006/relationships" xmlns:wp="http://schemas.openxmlformats.org/drawingml/2006/wordprocessingDrawing" xmlns:wp14="http://schemas.microsoft.com/office/word/2010/wordprocessingDrawing" xmlns:w="http://schemas.openxmlformats.org/wordprocessingml/2006/main" xmlns:w14="http://schemas.microsoft.com/office/word/2010/wordml" mc:Ignorable="w14 wp14">
  <w:p>
    <w:pPr>
      <w:pStyle w:val="Header"/>
      <w:jc w:val="center"/>
    </w:pPr>
    <w:r>
      <w:rPr>
        <w:noProof/>
      </w:rPr>
      <w:drawing>
        <wp:anchor distT="0" distB="0" distL="0" distR="0" simplePos="0" relativeHeight="1" behindDoc="1" locked="1" layoutInCell="0" allowOverlap="0" wp14:anchorId="BE000001" wp14:editId="BE000001">
          <wp:simplePos x="0" y="0"/>
          <wp:positionH relativeFrom="page">
            <wp:posOffset>0</wp:posOffset>
          </wp:positionH>
          <wp:positionV relativeFrom="page">
            <wp:posOffset>0</wp:posOffset>
          </wp:positionV>
          <wp:extent cx="7560000" cy="10692000"/>
          <wp:effectExtent l="0" t="0" r="0" b="0"/>
          <wp:wrapNone/>
          <wp:docPr id="99001" name="be_backgrou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be_background"/>
                  <pic:cNvPicPr>
                    <a:picLocks noChangeAspect="1" noChangeArrowheads="1"/>
                  </pic:cNvPicPr>
                </pic:nvPicPr>
                <pic:blipFill>
                  <a:blip r:embed="rId_bg"/>
                  <a:stretch>
                    <a:fillRect/>
                  </a:stretch>
                </pic:blipFill>
                <pic:spPr bwMode="auto">
                  <a:xfrm>
                    <a:off x="0" y="0"/>
                    <a:ext cx="7560000" cy="10692000"/>
                  </a:xfrm>
                  <a:prstGeom prst="rect">
                    <a:avLst/>
                  </a:prstGeom>
                  <a:noFill/>
                </pic:spPr>
              </pic:pic>
            </a:graphicData>
          </a:graphic>
        </wp:anchor>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Sylfaen" w:hAnsi="Sylfaen" w:cs="Sylfaen" w:eastAsia="Sylfae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CoverLogo" Type="http://schemas.openxmlformats.org/officeDocument/2006/relationships/image" Target="media/cover_logo.png"/></Relationships>
</file>

<file path=word/_rels/header1.xml.rels><?xml version='1.0' encoding='UTF-8' standalone='yes'?>
<Relationships xmlns="http://schemas.openxmlformats.org/package/2006/relationships"><Relationship Id="rId_bg" Type="http://schemas.openxmlformats.org/officeDocument/2006/relationships/image" Target="media/be_background.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