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0"/>
        <w:shd w:val="clear" w:color="auto" w:fill="1B3A5C"/>
      </w:pPr>
      <w:r>
        <w:rPr>
          <w:b/>
          <w:rFonts w:ascii="Sylfaen" w:hAnsi="Sylfaen" w:cs="Sylfaen"/>
          <w:color w:val="FFFFFF"/>
          <w:sz w:val="36"/>
          <w:szCs w:val="36"/>
        </w:rPr>
        <w:t xml:space="preserve">შპს ბილდექს ექსპერტიზა</w:t>
      </w:r>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გამოცემის თარიღი 04.06.2026) ასახავს დამტკიცებული რევიზიის შედეგებსა და ხარისხის სახელმძღვანელო QM-01-ის (ვერსია 2.0) მეორე რედაქციასთან სრულ შესაბამისობას.</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 მეორე რედაქცია; ერთიანი გამოცემის თარიღი 04.06.2026.</w:t>
            </w:r>
          </w:p>
        </w:tc>
        <w:tc>
          <w:tcPr>
            <w:tcW w:w="3200" w:type="dxa"/>
          </w:tcPr>
          <w:p>
            <w:pPr/>
            <w:r>
              <w:rPr/>
              <w:t xml:space="preserve">დაქვემდებარებული დოკუმენტები v2.0-ზე მიუთითებდნენ, ხოლო ორიგინალი QM-01 v1.0 იყო — „v2.0 არ არსებობს“ ხარვეზი.</w:t>
            </w:r>
          </w:p>
        </w:tc>
        <w:tc>
          <w:tcPr>
            <w:tcW w:w="2400" w:type="dxa"/>
          </w:tcPr>
          <w:p>
            <w:pPr/>
            <w:r>
              <w:rPr/>
              <w:t xml:space="preserve">ISO/IEC 17020 §8.3; REVISION_SPEC §1; QM-01</w:t>
            </w:r>
          </w:p>
        </w:tc>
      </w:tr>
      <w:tr>
        <w:tc>
          <w:tcPr>
            <w:tcW w:w="500" w:type="dxa"/>
          </w:tcPr>
          <w:p>
            <w:pPr/>
            <w:r>
              <w:rPr/>
              <w:t xml:space="preserve">2</w:t>
            </w:r>
          </w:p>
        </w:tc>
        <w:tc>
          <w:tcPr>
            <w:tcW w:w="3200" w:type="dxa"/>
          </w:tcPr>
          <w:p>
            <w:pPr/>
            <w:r>
              <w:rPr/>
              <w:t xml:space="preserve">ფორმების კოდირება: FM-XX → BE-FM-* (დასახელებით); პოლიტიკები POL-0X → BE-POL-0X.</w:t>
            </w:r>
          </w:p>
        </w:tc>
        <w:tc>
          <w:tcPr>
            <w:tcW w:w="3200" w:type="dxa"/>
          </w:tcPr>
          <w:p>
            <w:pPr/>
            <w:r>
              <w:rPr/>
              <w:t xml:space="preserve">არასტანდარტული „FM-XX“/„POL-XX“ კოდები არ ემთხვეოდა QM-01-ის ფორმებისა და პოლიტიკების რეესტრს.</w:t>
            </w:r>
          </w:p>
        </w:tc>
        <w:tc>
          <w:tcPr>
            <w:tcW w:w="2400" w:type="dxa"/>
          </w:tcPr>
          <w:p>
            <w:pPr/>
            <w:r>
              <w:rPr/>
              <w:t xml:space="preserve">REVISION_SPEC §2; QM-01 §9, ფორმების რეესტრი</w:t>
            </w:r>
          </w:p>
        </w:tc>
      </w:tr>
      <w:tr>
        <w:tc>
          <w:tcPr>
            <w:tcW w:w="500" w:type="dxa"/>
          </w:tcPr>
          <w:p>
            <w:pPr/>
            <w:r>
              <w:rPr/>
              <w:t xml:space="preserve">3</w:t>
            </w:r>
          </w:p>
        </w:tc>
        <w:tc>
          <w:tcPr>
            <w:tcW w:w="3200" w:type="dxa"/>
          </w:tcPr>
          <w:p>
            <w:pPr/>
            <w:r>
              <w:rPr/>
              <w:t xml:space="preserve">ელფოსტა info@buildexexpertise.com → buildexexpertise@gmail.com.</w:t>
            </w:r>
          </w:p>
        </w:tc>
        <w:tc>
          <w:tcPr>
            <w:tcW w:w="3200" w:type="dxa"/>
          </w:tcPr>
          <w:p>
            <w:pPr/>
            <w:r>
              <w:rPr/>
              <w:t xml:space="preserve">არასწორი/არარსებული საკონტაქტო ელფოსტა.</w:t>
            </w:r>
          </w:p>
        </w:tc>
        <w:tc>
          <w:tcPr>
            <w:tcW w:w="2400" w:type="dxa"/>
          </w:tcPr>
          <w:p>
            <w:pPr/>
            <w:r>
              <w:rPr/>
              <w:t xml:space="preserve">REVISION_SPEC §7</w:t>
            </w:r>
          </w:p>
        </w:tc>
      </w:tr>
      <w:tr>
        <w:tc>
          <w:tcPr>
            <w:tcW w:w="500" w:type="dxa"/>
          </w:tcPr>
          <w:p>
            <w:pPr/>
            <w:r>
              <w:rPr/>
              <w:t xml:space="preserve">4</w:t>
            </w:r>
          </w:p>
        </w:tc>
        <w:tc>
          <w:tcPr>
            <w:tcW w:w="3200" w:type="dxa"/>
          </w:tcPr>
          <w:p>
            <w:pPr/>
            <w:r>
              <w:rPr/>
              <w:t xml:space="preserve">დაემატა ფოტო-/ვიდეოფიქსაციის სავალდებულო მოთხოვნა თარიღითა და ზუსტი დროით.</w:t>
            </w:r>
          </w:p>
        </w:tc>
        <w:tc>
          <w:tcPr>
            <w:tcW w:w="3200" w:type="dxa"/>
          </w:tcPr>
          <w:p>
            <w:pPr/>
            <w:r>
              <w:rPr/>
              <w:t xml:space="preserve">არ იყო ცალსახა მოთხოვნა ფიქსაციის სავალდებულოობასა და თარიღ/დროის (timestamp) აღნიშვნაზე.</w:t>
            </w:r>
          </w:p>
        </w:tc>
        <w:tc>
          <w:tcPr>
            <w:tcW w:w="2400" w:type="dxa"/>
          </w:tcPr>
          <w:p>
            <w:pPr/>
            <w:r>
              <w:rPr/>
              <w:t xml:space="preserve">QM-01 §10.4.1; REVISION_SPEC §5; ISO §7.3, §7.4</w:t>
            </w:r>
          </w:p>
        </w:tc>
      </w:tr>
      <w:tr>
        <w:tc>
          <w:tcPr>
            <w:tcW w:w="500" w:type="dxa"/>
          </w:tcPr>
          <w:p>
            <w:pPr/>
            <w:r>
              <w:rPr/>
              <w:t xml:space="preserve">5</w:t>
            </w:r>
          </w:p>
        </w:tc>
        <w:tc>
          <w:tcPr>
            <w:tcW w:w="3200" w:type="dxa"/>
          </w:tcPr>
          <w:p>
            <w:pPr/>
            <w:r>
              <w:rPr/>
              <w:t xml:space="preserve">დაემატა ინსპექტორის ფორმალური ავტორიზაციისა და კომპეტენციის ბმა.</w:t>
            </w:r>
          </w:p>
        </w:tc>
        <w:tc>
          <w:tcPr>
            <w:tcW w:w="3200" w:type="dxa"/>
          </w:tcPr>
          <w:p>
            <w:pPr/>
            <w:r>
              <w:rPr/>
              <w:t xml:space="preserve">ინსპექტორის ავტორიზაცია/კომპეტენცია დოკუმენტში ფორმალურად განსაზღვრული არ იყო.</w:t>
            </w:r>
          </w:p>
        </w:tc>
        <w:tc>
          <w:tcPr>
            <w:tcW w:w="2400" w:type="dxa"/>
          </w:tcPr>
          <w:p>
            <w:pPr/>
            <w:r>
              <w:rPr/>
              <w:t xml:space="preserve">ISO/IEC 17020 §5.1.3, §6.2.6, §6.2.7</w:t>
            </w:r>
          </w:p>
        </w:tc>
      </w:tr>
      <w:tr>
        <w:tc>
          <w:tcPr>
            <w:tcW w:w="500" w:type="dxa"/>
          </w:tcPr>
          <w:p>
            <w:pPr/>
            <w:r>
              <w:rPr/>
              <w:t xml:space="preserve">6</w:t>
            </w:r>
          </w:p>
        </w:tc>
        <w:tc>
          <w:tcPr>
            <w:tcW w:w="3200" w:type="dxa"/>
          </w:tcPr>
          <w:p>
            <w:pPr/>
            <w:r>
              <w:rPr/>
              <w:t xml:space="preserve">BE-WI-04 ინტეგრირდა: მიენიჭა მშობელი პროცედურა BE-PR-02 და QM-01 §1.2 სფეროს ბმა; განისაზღვრა როგორც დამოუკიდებელი ინსპექტირებითი საქმიანობა.</w:t>
            </w:r>
          </w:p>
        </w:tc>
        <w:tc>
          <w:tcPr>
            <w:tcW w:w="3200" w:type="dxa"/>
          </w:tcPr>
          <w:p>
            <w:pPr/>
            <w:r>
              <w:rPr/>
              <w:t xml:space="preserve">BE-WI-04 იყო „ობოლი“: არ ჰქონდა მშობელი პროცედურა და არ ფიგურირებდა QM-01-ის სფეროებსა და დოკუმენტთა ნუსხაში.</w:t>
            </w:r>
          </w:p>
        </w:tc>
        <w:tc>
          <w:tcPr>
            <w:tcW w:w="2400" w:type="dxa"/>
          </w:tcPr>
          <w:p>
            <w:pPr/>
            <w:r>
              <w:rPr/>
              <w:t xml:space="preserve">QM-01 §1.2, §9; ISO §7.1.4, §7.1.1; REVISION_SPEC §6</w:t>
            </w:r>
          </w:p>
        </w:tc>
      </w:tr>
      <w:tr>
        <w:tc>
          <w:tcPr>
            <w:tcW w:w="500" w:type="dxa"/>
          </w:tcPr>
          <w:p>
            <w:pPr/>
            <w:r>
              <w:rPr/>
              <w:t xml:space="preserve">7</w:t>
            </w:r>
          </w:p>
        </w:tc>
        <w:tc>
          <w:tcPr>
            <w:tcW w:w="3200" w:type="dxa"/>
          </w:tcPr>
          <w:p>
            <w:pPr/>
            <w:r>
              <w:rPr/>
              <w:t xml:space="preserve">ამოღებულ იქნა სამშენებლო პროცესში/მართვაში მონაწილეობის მანიშნებელი ფორმულირება; დაემატა A ტიპის დამოუკიდებლობის მკაცრი საზღვარი.</w:t>
            </w:r>
          </w:p>
        </w:tc>
        <w:tc>
          <w:tcPr>
            <w:tcW w:w="3200" w:type="dxa"/>
          </w:tcPr>
          <w:p>
            <w:pPr/>
            <w:r>
              <w:rPr/>
              <w:t xml:space="preserve">ფორმულირება გულისხმობდა მშენებლობაში/ზედამხედველობით მართვაში მონაწილეობას, რაც არღვევს A ტიპის დამოუკიდებლობას.</w:t>
            </w:r>
          </w:p>
        </w:tc>
        <w:tc>
          <w:tcPr>
            <w:tcW w:w="2400" w:type="dxa"/>
          </w:tcPr>
          <w:p>
            <w:pPr/>
            <w:r>
              <w:rPr/>
              <w:t xml:space="preserve">ISO/IEC 17020 დანართი A; BE-POL-01; REVISION_SPEC §4, §6</w:t>
            </w:r>
          </w:p>
        </w:tc>
      </w:tr>
      <w:tr>
        <w:tc>
          <w:tcPr>
            <w:tcW w:w="500" w:type="dxa"/>
          </w:tcPr>
          <w:p>
            <w:pPr/>
            <w:r>
              <w:rPr/>
              <w:t xml:space="preserve">8</w:t>
            </w:r>
          </w:p>
        </w:tc>
        <w:tc>
          <w:tcPr>
            <w:tcW w:w="3200" w:type="dxa"/>
          </w:tcPr>
          <w:p>
            <w:pPr/>
            <w:r>
              <w:rPr/>
              <w:t xml:space="preserve">სათაურის ISO ბმა §8.1 → §7.1.1; დონე „II — პროცედურა/პოლიტიკა“ → „III — სამუშაო ინსტრუქცია“.</w:t>
            </w:r>
          </w:p>
        </w:tc>
        <w:tc>
          <w:tcPr>
            <w:tcW w:w="3200" w:type="dxa"/>
          </w:tcPr>
          <w:p>
            <w:pPr/>
            <w:r>
              <w:rPr/>
              <w:t xml:space="preserve">ISO §8.1 (მართვის სისტემა) და II დონე არ შეესაბამება სამუშაო ინსტრუქციას; ISO §5.3.x არ არსებობს.</w:t>
            </w:r>
          </w:p>
        </w:tc>
        <w:tc>
          <w:tcPr>
            <w:tcW w:w="2400" w:type="dxa"/>
          </w:tcPr>
          <w:p>
            <w:pPr/>
            <w:r>
              <w:rPr/>
              <w:t xml:space="preserve">ISO §7.1.1 (5.3.x არ არსებობს — იხ. §5.2); QM-01 §9</w:t>
            </w:r>
          </w:p>
        </w:tc>
      </w:tr>
      <w:tr>
        <w:tc>
          <w:tcPr>
            <w:tcW w:w="450" w:type="dxa"/>
          </w:tcPr>
          <w:p>
            <w:pPr/>
            <w:r>
              <w:rPr/>
              <w:t xml:space="preserve">3</w:t>
            </w:r>
          </w:p>
        </w:tc>
        <w:tc>
          <w:tcPr>
            <w:tcW w:w="3200" w:type="dxa"/>
          </w:tcPr>
          <w:p>
            <w:pPr/>
            <w:r>
              <w:rPr/>
              <w:t xml:space="preserve">ISO ბმა „§7.4.4“ → „§7.1.1–§7.1.3, §7.1.7; §7.4.5“; ტერმინები „სქლერომეტრი“ → „სკლერომეტრი“, „ცემოწმება“ → „გამოცდა“, „ცაზე“ → „ცარზე“, „მტარვალო“ → „ლითონის კონსტრუქციები“.</w:t>
            </w:r>
          </w:p>
        </w:tc>
        <w:tc>
          <w:tcPr>
            <w:tcW w:w="3200" w:type="dxa"/>
          </w:tcPr>
          <w:p>
            <w:pPr/>
            <w:r>
              <w:rPr/>
              <w:t xml:space="preserve">მცდარი ISO ბმა და ტექნიკური ტერმინების მართლწერა.</w:t>
            </w:r>
          </w:p>
        </w:tc>
        <w:tc>
          <w:tcPr>
            <w:tcW w:w="2400" w:type="dxa"/>
          </w:tcPr>
          <w:p>
            <w:pPr/>
            <w:r>
              <w:rPr/>
              <w:t xml:space="preserve">ISO/IEC 17020 §7.1; შინაარსობრივი/ტერმინოლოგიური ხარისხი</w:t>
            </w:r>
          </w:p>
        </w:tc>
      </w:tr>
    </w:tbl>
    <w:p>
      <w:pPr/>
    </w:p>
    <w:p>
      <w:pPr>
        <w:jc w:val="center"/>
        <w:spacing w:before="0" w:after="200"/>
        <w:shd w:val="clear" w:color="auto" w:fill="2E75B6"/>
      </w:pPr>
      <w:r>
        <w:rPr>
          <w:rFonts w:ascii="Sylfaen" w:hAnsi="Sylfaen" w:cs="Sylfaen"/>
          <w:color w:val="FFFFFF"/>
          <w:sz w:val="18"/>
          <w:szCs w:val="18"/>
        </w:rPr>
        <w:t xml:space="preserve">ს/კ 431188010  |  ქ. თელავი, ლიონიძის ქ. 22  |  buildexexpertise@gmail.com</w:t>
      </w:r>
    </w:p>
    <w:p>
      <w:pPr>
        <w:jc w:val="center"/>
        <w:spacing w:before="0" w:after="100"/>
      </w:pPr>
    </w:p>
    <w:p>
      <w:pPr>
        <w:jc w:val="center"/>
        <w:spacing w:before="0" w:after="100"/>
      </w:pPr>
    </w:p>
    <w:p>
      <w:pPr>
        <w:jc w:val="center"/>
        <w:spacing w:before="0" w:after="100"/>
      </w:pPr>
    </w:p>
    <w:p>
      <w:pPr>
        <w:jc w:val="center"/>
        <w:spacing w:before="2880" w:after="720"/>
      </w:pPr>
      <w:r>
        <w:drawing>
          <wp:inline distT="0" distB="0" distL="0" distR="0">
            <wp:extent cx="1440000" cy="1257600"/>
            <wp:effectExtent l="0" t="0" r="0" b="0"/>
            <wp:docPr id="200" name="Cov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CoverLogo"/>
                    <pic:cNvPicPr>
                      <a:picLocks noChangeAspect="1"/>
                    </pic:cNvPicPr>
                  </pic:nvPicPr>
                  <pic:blipFill>
                    <a:blip r:embed="rIdCoverLogo"/>
                    <a:stretch>
                      <a:fillRect/>
                    </a:stretch>
                  </pic:blipFill>
                  <pic:spPr>
                    <a:xfrm>
                      <a:off x="0" y="0"/>
                      <a:ext cx="1440000" cy="1257600"/>
                    </a:xfrm>
                    <a:prstGeom prst="rect">
                      <a:avLst/>
                    </a:prstGeom>
                  </pic:spPr>
                </pic:pic>
              </a:graphicData>
            </a:graphic>
          </wp:inline>
        </w:drawing>
      </w:r>
    </w:p>
    <w:p>
      <w:pPr>
        <w:jc w:val="center"/>
        <w:spacing w:before="0" w:after="100"/>
      </w:pPr>
    </w:p>
    <w:p>
      <w:pPr>
        <w:jc w:val="center"/>
        <w:spacing w:before="0" w:after="100"/>
      </w:pPr>
    </w:p>
    <w:p>
      <w:pPr>
        <w:jc w:val="center"/>
        <w:spacing w:before="100" w:after="100"/>
      </w:pPr>
      <w:r>
        <w:rPr>
          <w:b/>
          <w:rFonts w:ascii="Sylfaen" w:hAnsi="Sylfaen" w:cs="Sylfaen"/>
          <w:color w:val="1B3A5C"/>
          <w:sz w:val="44"/>
          <w:szCs w:val="44"/>
        </w:rPr>
        <w:t xml:space="preserve">ტექნიკური ზედამხედველობა</w:t>
      </w:r>
    </w:p>
    <w:p>
      <w:pPr>
        <w:jc w:val="center"/>
        <w:spacing w:before="40" w:after="80"/>
      </w:pPr>
      <w:r>
        <w:rPr>
          <w:b/>
          <w:rFonts w:ascii="Sylfaen" w:hAnsi="Sylfaen" w:cs="Sylfaen"/>
          <w:color w:val="2E75B6"/>
          <w:sz w:val="64"/>
          <w:szCs w:val="64"/>
        </w:rPr>
        <w:t xml:space="preserve">BE-WI-04</w:t>
      </w:r>
    </w:p>
    <w:p>
      <w:pPr>
        <w:jc w:val="center"/>
        <w:spacing w:before="0" w:after="120"/>
      </w:pPr>
      <w:r>
        <w:rPr>
          <w:rFonts w:ascii="Sylfaen" w:hAnsi="Sylfaen" w:cs="Sylfaen"/>
          <w:color w:val="1B3A5C"/>
          <w:sz w:val="20"/>
          <w:szCs w:val="20"/>
        </w:rPr>
        <w:t xml:space="preserve">სამუშაო ინსტრუქცია | სსტ ISO/IEC 17020:2012/2013 §7.1.1</w:t>
      </w:r>
    </w:p>
    <w:p>
      <w:pPr>
        <w:pBdr>
          <w:bottom w:val="single" w:sz="8" w:space="1" w:color="2E75B6"/>
        </w:pBdr>
        <w:spacing w:before="200" w:after="200"/>
      </w:pPr>
    </w:p>
    <w:tbl>
      <w:tblPr>
        <w:tblW w:w="9000" w:type="dxa"/>
        <w:tblBorders>
          <w:top w:val="single" w:sz="4" w:color="1B3A5C"/>
          <w:left w:val="single" w:sz="4" w:color="1B3A5C"/>
          <w:bottom w:val="single" w:sz="4" w:color="1B3A5C"/>
          <w:right w:val="single" w:sz="4" w:color="1B3A5C"/>
          <w:insideH w:val="single" w:sz="4" w:color="1B3A5C"/>
          <w:insideV w:val="single" w:sz="4" w:color="1B3A5C"/>
        </w:tblBorders>
        <w:tblCellMar>
          <w:top w:w="80" w:type="dxa"/>
          <w:left w:w="160" w:type="dxa"/>
          <w:bottom w:w="80" w:type="dxa"/>
          <w:right w:w="160" w:type="dxa"/>
        </w:tblCellMar>
      </w:tblPr>
      <w:tr>
        <w:tc>
          <w:tcPr>
            <w:tcW w:w="3600" w:type="dxa"/>
            <w:shd w:val="clear" w:color="auto" w:fill="EBF3FA"/>
          </w:tcPr>
          <w:p>
            <w:pPr>
              <w:jc w:val="left"/>
            </w:pPr>
            <w:r>
              <w:rPr>
                <w:b/>
                <w:rFonts w:ascii="Sylfaen" w:hAnsi="Sylfaen" w:cs="Sylfaen"/>
                <w:color w:val="1B3A5C"/>
                <w:sz w:val="18"/>
                <w:szCs w:val="18"/>
              </w:rPr>
              <w:t xml:space="preserve">იურიდიული პირი:</w:t>
            </w:r>
          </w:p>
        </w:tc>
        <w:tc>
          <w:tcPr>
            <w:tcW w:w="5400" w:type="dxa"/>
          </w:tcPr>
          <w:p>
            <w:pPr>
              <w:jc w:val="left"/>
            </w:pPr>
            <w:r>
              <w:rPr>
                <w:rFonts w:ascii="Sylfaen" w:hAnsi="Sylfaen" w:cs="Sylfaen"/>
                <w:color w:val="1B3A5C"/>
                <w:sz w:val="18"/>
                <w:szCs w:val="18"/>
              </w:rPr>
              <w:t xml:space="preserve">შპს "ბილდექს ექსპერტიზა"</w:t>
            </w:r>
          </w:p>
        </w:tc>
      </w:tr>
      <w:tr>
        <w:tc>
          <w:tcPr>
            <w:tcW w:w="3600" w:type="dxa"/>
            <w:shd w:val="clear" w:color="auto" w:fill="EBF3FA"/>
          </w:tcPr>
          <w:p>
            <w:pPr>
              <w:jc w:val="left"/>
            </w:pPr>
            <w:r>
              <w:rPr>
                <w:b/>
                <w:rFonts w:ascii="Sylfaen" w:hAnsi="Sylfaen" w:cs="Sylfaen"/>
                <w:color w:val="1B3A5C"/>
                <w:sz w:val="18"/>
                <w:szCs w:val="18"/>
              </w:rPr>
              <w:t xml:space="preserve">საიდ. კოდი:</w:t>
            </w:r>
          </w:p>
        </w:tc>
        <w:tc>
          <w:tcPr>
            <w:tcW w:w="5400" w:type="dxa"/>
          </w:tcPr>
          <w:p>
            <w:pPr>
              <w:jc w:val="left"/>
            </w:pPr>
            <w:r>
              <w:rPr>
                <w:rFonts w:ascii="Sylfaen" w:hAnsi="Sylfaen" w:cs="Sylfaen"/>
                <w:color w:val="1B3A5C"/>
                <w:sz w:val="18"/>
                <w:szCs w:val="18"/>
              </w:rPr>
              <w:t xml:space="preserve">431188010</w:t>
            </w:r>
          </w:p>
        </w:tc>
      </w:tr>
      <w:tr>
        <w:tc>
          <w:tcPr>
            <w:tcW w:w="3600" w:type="dxa"/>
            <w:shd w:val="clear" w:color="auto" w:fill="EBF3FA"/>
          </w:tcPr>
          <w:p>
            <w:pPr>
              <w:jc w:val="left"/>
            </w:pPr>
            <w:r>
              <w:rPr>
                <w:b/>
                <w:rFonts w:ascii="Sylfaen" w:hAnsi="Sylfaen" w:cs="Sylfaen"/>
                <w:color w:val="1B3A5C"/>
                <w:sz w:val="18"/>
                <w:szCs w:val="18"/>
              </w:rPr>
              <w:t xml:space="preserve">მისამართი:</w:t>
            </w:r>
          </w:p>
        </w:tc>
        <w:tc>
          <w:tcPr>
            <w:tcW w:w="5400" w:type="dxa"/>
          </w:tcPr>
          <w:p>
            <w:pPr>
              <w:jc w:val="left"/>
            </w:pPr>
            <w:r>
              <w:rPr>
                <w:rFonts w:ascii="Sylfaen" w:hAnsi="Sylfaen" w:cs="Sylfaen"/>
                <w:color w:val="1B3A5C"/>
                <w:sz w:val="18"/>
                <w:szCs w:val="18"/>
              </w:rPr>
              <w:t xml:space="preserve">ქ. თელავი, ლიონიძის ქ. 22</w:t>
            </w:r>
          </w:p>
        </w:tc>
      </w:tr>
      <w:tr>
        <w:tc>
          <w:tcPr>
            <w:tcW w:w="3600" w:type="dxa"/>
            <w:shd w:val="clear" w:color="auto" w:fill="EBF3FA"/>
          </w:tcPr>
          <w:p>
            <w:pPr>
              <w:jc w:val="left"/>
            </w:pPr>
            <w:r>
              <w:rPr>
                <w:b/>
                <w:rFonts w:ascii="Sylfaen" w:hAnsi="Sylfaen" w:cs="Sylfaen"/>
                <w:color w:val="1B3A5C"/>
                <w:sz w:val="18"/>
                <w:szCs w:val="18"/>
              </w:rPr>
              <w:t xml:space="preserve">ელ-ფოსტა:</w:t>
            </w:r>
          </w:p>
        </w:tc>
        <w:tc>
          <w:tcPr>
            <w:tcW w:w="5400" w:type="dxa"/>
          </w:tcPr>
          <w:p>
            <w:pPr>
              <w:jc w:val="left"/>
            </w:pPr>
            <w:r>
              <w:rPr>
                <w:rFonts w:ascii="Sylfaen" w:hAnsi="Sylfaen" w:cs="Sylfaen"/>
                <w:color w:val="1B3A5C"/>
                <w:sz w:val="18"/>
                <w:szCs w:val="18"/>
              </w:rPr>
              <w:t xml:space="preserve">buildexexpertise@gmail.com</w:t>
            </w:r>
          </w:p>
        </w:tc>
      </w:tr>
      <w:tr>
        <w:tc>
          <w:tcPr>
            <w:tcW w:w="3600" w:type="dxa"/>
            <w:shd w:val="clear" w:color="auto" w:fill="EBF3FA"/>
          </w:tcPr>
          <w:p>
            <w:pPr>
              <w:jc w:val="left"/>
            </w:pPr>
            <w:r>
              <w:rPr>
                <w:b/>
                <w:rFonts w:ascii="Sylfaen" w:hAnsi="Sylfaen" w:cs="Sylfaen"/>
                <w:color w:val="1B3A5C"/>
                <w:sz w:val="18"/>
                <w:szCs w:val="18"/>
              </w:rPr>
              <w:t xml:space="preserve">ტელეფონი:</w:t>
            </w:r>
          </w:p>
        </w:tc>
        <w:tc>
          <w:tcPr>
            <w:tcW w:w="5400" w:type="dxa"/>
          </w:tcPr>
          <w:p>
            <w:pPr>
              <w:jc w:val="left"/>
            </w:pPr>
            <w:r>
              <w:rPr>
                <w:rFonts w:ascii="Sylfaen" w:hAnsi="Sylfaen" w:cs="Sylfaen"/>
                <w:color w:val="1B3A5C"/>
                <w:sz w:val="18"/>
                <w:szCs w:val="18"/>
              </w:rPr>
              <w:t xml:space="preserve">+995 511 747 400</w:t>
            </w:r>
          </w:p>
        </w:tc>
      </w:tr>
      <w:tr>
        <w:tc>
          <w:tcPr>
            <w:tcW w:w="3600" w:type="dxa"/>
            <w:shd w:val="clear" w:color="auto" w:fill="EBF3FA"/>
          </w:tcPr>
          <w:p>
            <w:pPr>
              <w:jc w:val="left"/>
            </w:pPr>
            <w:r>
              <w:rPr>
                <w:b/>
                <w:rFonts w:ascii="Sylfaen" w:hAnsi="Sylfaen" w:cs="Sylfaen"/>
                <w:color w:val="1B3A5C"/>
                <w:sz w:val="18"/>
                <w:szCs w:val="18"/>
              </w:rPr>
              <w:t xml:space="preserve">ორგ. ტიპი:</w:t>
            </w:r>
          </w:p>
        </w:tc>
        <w:tc>
          <w:tcPr>
            <w:tcW w:w="5400" w:type="dxa"/>
          </w:tcPr>
          <w:p>
            <w:pPr>
              <w:jc w:val="left"/>
            </w:pPr>
            <w:r>
              <w:rPr>
                <w:rFonts w:ascii="Sylfaen" w:hAnsi="Sylfaen" w:cs="Sylfaen"/>
                <w:color w:val="1B3A5C"/>
                <w:sz w:val="18"/>
                <w:szCs w:val="18"/>
              </w:rPr>
              <w:t xml:space="preserve">A ტ. — სსტ ISO/IEC 17020:2012/2013</w:t>
            </w:r>
          </w:p>
        </w:tc>
      </w:tr>
      <w:tr>
        <w:tc>
          <w:tcPr>
            <w:tcW w:w="3600" w:type="dxa"/>
            <w:shd w:val="clear" w:color="auto" w:fill="EBF3FA"/>
          </w:tcPr>
          <w:p>
            <w:pPr>
              <w:jc w:val="left"/>
            </w:pPr>
            <w:r>
              <w:rPr>
                <w:b/>
                <w:rFonts w:ascii="Sylfaen" w:hAnsi="Sylfaen" w:cs="Sylfaen"/>
                <w:color w:val="1B3A5C"/>
                <w:sz w:val="18"/>
                <w:szCs w:val="18"/>
              </w:rPr>
              <w:t xml:space="preserve">შედგ.:</w:t>
            </w:r>
          </w:p>
        </w:tc>
        <w:tc>
          <w:tcPr>
            <w:tcW w:w="5400" w:type="dxa"/>
          </w:tcPr>
          <w:p>
            <w:pPr>
              <w:jc w:val="left"/>
            </w:pPr>
            <w:r>
              <w:rPr>
                <w:rFonts w:ascii="Sylfaen" w:hAnsi="Sylfaen" w:cs="Sylfaen"/>
                <w:color w:val="1B3A5C"/>
                <w:sz w:val="18"/>
                <w:szCs w:val="18"/>
              </w:rPr>
              <w:t xml:space="preserve">ხარისხის მენეჯერი</w:t>
            </w:r>
          </w:p>
        </w:tc>
      </w:tr>
      <w:tr>
        <w:tc>
          <w:tcPr>
            <w:tcW w:w="3600" w:type="dxa"/>
            <w:shd w:val="clear" w:color="auto" w:fill="EBF3FA"/>
          </w:tcPr>
          <w:p>
            <w:pPr>
              <w:jc w:val="left"/>
            </w:pPr>
            <w:r>
              <w:rPr>
                <w:b/>
                <w:rFonts w:ascii="Sylfaen" w:hAnsi="Sylfaen" w:cs="Sylfaen"/>
                <w:color w:val="1B3A5C"/>
                <w:sz w:val="18"/>
                <w:szCs w:val="18"/>
              </w:rPr>
              <w:t xml:space="preserve">დამტ.:</w:t>
            </w:r>
          </w:p>
        </w:tc>
        <w:tc>
          <w:tcPr>
            <w:tcW w:w="5400" w:type="dxa"/>
          </w:tcPr>
          <w:p>
            <w:pPr>
              <w:jc w:val="left"/>
            </w:pPr>
            <w:r>
              <w:rPr>
                <w:rFonts w:ascii="Sylfaen" w:hAnsi="Sylfaen" w:cs="Sylfaen"/>
                <w:color w:val="1B3A5C"/>
                <w:sz w:val="18"/>
                <w:szCs w:val="18"/>
              </w:rPr>
              <w:t xml:space="preserve">დირექტორი</w:t>
            </w:r>
          </w:p>
        </w:tc>
      </w:tr>
    </w:tbl>
    <w:p>
      <w:pPr>
        <w:jc w:val="center"/>
        <w:spacing w:before="120" w:after="0"/>
      </w:pPr>
    </w:p>
    <w:p>
      <w:pPr>
        <w:jc w:val="center"/>
        <w:spacing w:before="0" w:after="60"/>
      </w:pPr>
      <w:r>
        <w:rPr>
          <w:rFonts w:ascii="Sylfaen" w:hAnsi="Sylfaen" w:cs="Sylfaen"/>
          <w:color w:val="1B3A5C"/>
          <w:sz w:val="18"/>
          <w:szCs w:val="18"/>
        </w:rPr>
        <w:t xml:space="preserve">ვერსია: 2.0  |  04.06.2026</w:t>
      </w:r>
    </w:p>
    <w:p>
      <w:pPr>
        <w:pBdr>
          <w:bottom w:val="single" w:sz="8" w:space="1" w:color="2E75B6"/>
        </w:pBdr>
        <w:spacing w:before="200" w:after="200"/>
      </w:pPr>
    </w:p>
    <w:p>
      <w:pPr>
        <w:jc w:val="center"/>
        <w:spacing w:before="40" w:after="40"/>
      </w:pPr>
      <w:r>
        <w:rPr>
          <w:i/>
          <w:rFonts w:ascii="Sylfaen" w:hAnsi="Sylfaen" w:cs="Sylfaen"/>
          <w:color w:val="808080"/>
          <w:sz w:val="18"/>
          <w:szCs w:val="18"/>
        </w:rPr>
        <w:t xml:space="preserve">კ ო ნ ფ ი დ ე ნ ც ი ა ლ უ რ ი — მხოლოდ შიდა გამოყენებისთვის</w:t>
      </w:r>
    </w:p>
    <w:p>
      <w:r>
        <w:br w:type="page"/>
      </w:r>
    </w:p>
    <w:p>
      <w:pPr>
        <w:jc w:val="center"/>
        <w:shd w:val="clear" w:color="auto" w:fill="1B3A5C"/>
        <w:spacing w:before="120" w:after="120"/>
      </w:pPr>
      <w:r>
        <w:rPr>
          <w:rFonts w:ascii="Sylfaen" w:hAnsi="Sylfaen"/>
          <w:sz w:val="28"/>
          <w:b/>
          <w:color w:val="FFFFFF"/>
        </w:rPr>
        <w:t xml:space="preserve">შპს ბილდექს ექსპერტიზა</w:t>
      </w:r>
    </w:p>
    <w:p>
      <w:pPr>
        <w:jc w:val="center"/>
        <w:shd w:val="clear" w:color="auto" w:fill="2E75B6"/>
        <w:spacing w:before="120" w:after="120"/>
      </w:pPr>
      <w:r>
        <w:rPr>
          <w:rFonts w:ascii="Sylfaen" w:hAnsi="Sylfaen"/>
          <w:sz w:val="20"/>
          <w:color w:val="FFFFFF"/>
        </w:rPr>
        <w:t xml:space="preserve">ს/კ 431188010 | ქ. თელავი, ლიონიძის ქ. 22 | buildexexpertise@gmail.com</w:t>
      </w:r>
    </w:p>
    <w:p>
      <w:pPr>
        <w:jc w:val="center"/>
        <w:spacing w:before="600" w:after="0"/>
      </w:pPr>
    </w:p>
    <w:p>
      <w:pPr>
        <w:jc w:val="center"/>
        <w:spacing w:before="0" w:after="80"/>
      </w:pPr>
      <w:r>
        <w:rPr>
          <w:rFonts w:ascii="Sylfaen" w:hAnsi="Sylfaen"/>
          <w:sz w:val="22"/>
          <w:color w:val="2E75B6"/>
        </w:rPr>
        <w:t xml:space="preserve">ᲡᲐᲛᲣᲨᲐᲝ ᲘᲜᲡᲢᲠᲣᲥᲪᲘᲐ</w:t>
      </w:r>
    </w:p>
    <w:p>
      <w:pPr>
        <w:jc w:val="center"/>
        <w:spacing w:before="0" w:after="160"/>
      </w:pPr>
      <w:r>
        <w:rPr>
          <w:rFonts w:ascii="Sylfaen" w:hAnsi="Sylfaen"/>
          <w:sz w:val="48"/>
          <w:b/>
          <w:color w:val="1B3A5C"/>
        </w:rPr>
        <w:t xml:space="preserve">BE-WI-04</w:t>
      </w:r>
    </w:p>
    <w:p>
      <w:pPr>
        <w:pBdr>
          <w:bottom w:val="single" w:sz="18" w:color="2E75B6"/>
        </w:pBdr>
        <w:spacing w:before="0" w:after="0"/>
      </w:pPr>
    </w:p>
    <w:p>
      <w:pPr>
        <w:jc w:val="center"/>
        <w:spacing w:before="200" w:after="0"/>
      </w:pPr>
    </w:p>
    <w:p>
      <w:pPr>
        <w:jc w:val="center"/>
        <w:spacing w:before="0" w:after="400"/>
      </w:pPr>
      <w:r>
        <w:rPr>
          <w:rFonts w:ascii="Sylfaen" w:hAnsi="Sylfaen"/>
          <w:sz w:val="32"/>
          <w:b/>
          <w:color w:val="1B3A5C"/>
        </w:rPr>
        <w:t xml:space="preserve">ტექნიკური ზედამხედველობის ინსპექტირება</w:t>
      </w:r>
    </w:p>
    <w:p>
      <w:pPr>
        <w:jc w:val="center"/>
        <w:spacing w:before="400" w:after="0"/>
      </w:pPr>
    </w:p>
    <w:p>
      <w:pPr>
        <w:jc w:val="center"/>
        <w:spacing w:before="0" w:after="80"/>
      </w:pPr>
      <w:r>
        <w:rPr>
          <w:rFonts w:ascii="Sylfaen" w:hAnsi="Sylfaen"/>
          <w:sz w:val="20"/>
          <w:color w:val="555555"/>
        </w:rPr>
        <w:t xml:space="preserve">ვერსია: 2.0 | თარიღი: 04.06.2026 | სტატუსი: მოქმედი</w:t>
      </w:r>
    </w:p>
    <w:p>
      <w:pPr>
        <w:jc w:val="center"/>
        <w:spacing w:before="0" w:after="80"/>
      </w:pPr>
      <w:r>
        <w:rPr>
          <w:rFonts w:ascii="Sylfaen" w:hAnsi="Sylfaen"/>
          <w:sz w:val="20"/>
          <w:color w:val="2E75B6"/>
        </w:rPr>
        <w:t xml:space="preserve">სსტ ისო/იეკ 17020:2012/2013 — A ტიპის ინსპექტირების ორგანო</w:t>
      </w:r>
    </w:p>
    <w:p>
      <w:pPr>
        <w:jc w:val="center"/>
        <w:spacing w:before="0" w:after="400"/>
      </w:pPr>
      <w:r>
        <w:rPr>
          <w:rFonts w:ascii="Sylfaen" w:hAnsi="Sylfaen"/>
          <w:sz w:val="20"/>
          <w:color w:val="555555"/>
        </w:rPr>
        <w:t xml:space="preserve">საქართველოს აკრედიტაციის ეროვნული ცენტრი (GAC)</w:t>
      </w:r>
    </w:p>
    <w:p>
      <w:pPr>
        <w:jc w:val="center"/>
        <w:spacing w:before="400" w:after="0"/>
      </w:pPr>
    </w:p>
    <w:p>
      <w:pPr>
        <w:pBdr>
          <w:bottom w:val="single" w:sz="18" w:color="2E75B6"/>
        </w:pBdr>
        <w:spacing w:before="0" w:after="0"/>
      </w:pPr>
    </w:p>
    <w:p>
      <w:pPr>
        <w:jc w:val="center"/>
        <w:spacing w:before="80" w:after="80"/>
      </w:pPr>
      <w:r>
        <w:rPr>
          <w:rFonts w:ascii="Sylfaen" w:hAnsi="Sylfaen"/>
          <w:sz w:val="18"/>
          <w:color w:val="888888"/>
        </w:rPr>
        <w:t xml:space="preserve">კონფიდენციალური — მხოლოდ შიდა გამოყენებისთვის</w:t>
      </w:r>
    </w:p>
    <w:p>
      <w:r>
        <w:br w:type="page"/>
      </w:r>
    </w:p>
    <w:p>
      <w:pPr>
        <w:jc w:val="center"/>
      </w:pPr>
      <w:r>
        <w:rPr>
          <w:b/>
          <w:color w:val="1F4E79"/>
          <w:sz w:val="36"/>
        </w:rPr>
        <w:t>შპს „ბილდექს ექსპერტიზა”</w:t>
      </w:r>
    </w:p>
    <w:p>
      <w:pPr>
        <w:jc w:val="center"/>
      </w:pPr>
      <w:r>
        <w:rPr>
          <w:sz w:val="20"/>
        </w:rPr>
        <w:t xml:space="preserve">ს/კ 431188010 | ქ. თელავი, ლიონიძის ქ. 22 | buildexexpertise@gmail.com | +995 511 747 400</w:t>
        <w:br/>
        <w:t/>
      </w:r>
    </w:p>
    <w:p/>
    <w:p/>
    <w:p>
      <w:pPr>
        <w:jc w:val="center"/>
      </w:pPr>
      <w:r>
        <w:rPr>
          <w:b/>
          <w:color w:val="1F4E79"/>
          <w:sz w:val="56"/>
        </w:rPr>
        <w:t xml:space="preserve">BE-WI-04</w:t>
      </w:r>
    </w:p>
    <w:p>
      <w:pPr>
        <w:jc w:val="center"/>
      </w:pPr>
      <w:r>
        <w:rPr>
          <w:b/>
          <w:sz w:val="40"/>
        </w:rPr>
        <w:t>ტექნიკური ზედამხედველობა-ინსპექტირება — სამუშაო ინსტრუქცია</w:t>
      </w:r>
    </w:p>
    <w:p>
      <w:pPr>
        <w:jc w:val="center"/>
      </w:pPr>
      <w:r>
        <w:rPr>
          <w:i/>
          <w:sz w:val="24"/>
        </w:rPr>
        <w:t>დროში განაწილებული პროცესი — ეტაპებს შორის შენიშვნების მიდევნება</w:t>
      </w:r>
    </w:p>
    <w:p/>
    <w:tbl>
      <w:tblPr>
        <w:tblStyle w:val="TableGrid"/>
        <w:tblW w:type="auto" w:w="0"/>
        <w:tblLook w:firstColumn="1" w:firstRow="1" w:lastColumn="0" w:lastRow="0" w:noHBand="0" w:noVBand="1" w:val="04A0"/>
      </w:tblPr>
      <w:tblGrid>
        <w:gridCol w:w="4320"/>
        <w:gridCol w:w="4320"/>
      </w:tblGrid>
      <w:tr>
        <w:tc>
          <w:tcPr>
            <w:tcW w:type="dxa" w:w="4320"/>
          </w:tcPr>
          <w:p>
            <w:r>
              <w:rPr>
                <w:rFonts w:ascii="Sylfaen" w:hAnsi="Sylfaen"/>
                <w:b/>
                <w:sz w:val="20"/>
              </w:rPr>
              <w:t>დოკუმენტის დასახელება</w:t>
            </w:r>
          </w:p>
        </w:tc>
        <w:tc>
          <w:tcPr>
            <w:tcW w:type="dxa" w:w="4320"/>
          </w:tcPr>
          <w:p>
            <w:r>
              <w:rPr>
                <w:rFonts w:ascii="Sylfaen" w:hAnsi="Sylfaen"/>
                <w:sz w:val="20"/>
              </w:rPr>
              <w:t>ტექნიკური ზედამხედველობა-ინსპექტირება — სამუშაო ინსტრუქცია</w:t>
            </w:r>
          </w:p>
        </w:tc>
      </w:tr>
      <w:tr>
        <w:tc>
          <w:tcPr>
            <w:tcW w:type="dxa" w:w="4320"/>
          </w:tcPr>
          <w:p>
            <w:r>
              <w:rPr>
                <w:rFonts w:ascii="Sylfaen" w:hAnsi="Sylfaen"/>
                <w:b/>
                <w:sz w:val="20"/>
              </w:rPr>
              <w:t>დოკუმენტის კოდი</w:t>
            </w:r>
          </w:p>
        </w:tc>
        <w:tc>
          <w:tcPr>
            <w:tcW w:type="dxa" w:w="4320"/>
          </w:tcPr>
          <w:p>
            <w:r>
              <w:rPr>
                <w:rFonts w:ascii="Sylfaen" w:hAnsi="Sylfaen"/>
                <w:sz w:val="20"/>
              </w:rPr>
              <w:t xml:space="preserve">BE-WI-04</w:t>
            </w:r>
          </w:p>
        </w:tc>
      </w:tr>
      <w:tr>
        <w:tc>
          <w:tcPr>
            <w:tcW w:type="dxa" w:w="4320"/>
          </w:tcPr>
          <w:p>
            <w:r>
              <w:rPr>
                <w:rFonts w:ascii="Sylfaen" w:hAnsi="Sylfaen"/>
                <w:b/>
                <w:sz w:val="20"/>
              </w:rPr>
              <w:t>ვერსია / გამოცემა</w:t>
            </w:r>
          </w:p>
        </w:tc>
        <w:tc>
          <w:tcPr>
            <w:tcW w:type="dxa" w:w="4320"/>
          </w:tcPr>
          <w:p>
            <w:r>
              <w:rPr>
                <w:rFonts w:ascii="Sylfaen" w:hAnsi="Sylfaen"/>
                <w:sz w:val="20"/>
              </w:rPr>
              <w:t>2.0  მეორე რედაქცია</w:t>
            </w:r>
          </w:p>
        </w:tc>
      </w:tr>
      <w:tr>
        <w:tc>
          <w:tcPr>
            <w:tcW w:type="dxa" w:w="4320"/>
          </w:tcPr>
          <w:p>
            <w:r>
              <w:rPr>
                <w:rFonts w:ascii="Sylfaen" w:hAnsi="Sylfaen"/>
                <w:b/>
                <w:sz w:val="20"/>
              </w:rPr>
              <w:t>დოკუმენტის დონე</w:t>
            </w:r>
          </w:p>
        </w:tc>
        <w:tc>
          <w:tcPr>
            <w:tcW w:type="dxa" w:w="4320"/>
          </w:tcPr>
          <w:p>
            <w:r>
              <w:rPr>
                <w:rFonts w:ascii="Sylfaen" w:hAnsi="Sylfaen"/>
                <w:sz w:val="20"/>
              </w:rPr>
              <w:t xml:space="preserve">III დონე — სამუშაო ინსტრუქცია</w:t>
            </w:r>
          </w:p>
        </w:tc>
      </w:tr>
      <w:tr>
        <w:tc>
          <w:tcPr>
            <w:tcW w:type="dxa" w:w="4320"/>
          </w:tcPr>
          <w:p>
            <w:r>
              <w:rPr>
                <w:rFonts w:ascii="Sylfaen" w:hAnsi="Sylfaen"/>
                <w:b/>
                <w:sz w:val="20"/>
              </w:rPr>
              <w:t>მფლობელი</w:t>
            </w:r>
          </w:p>
        </w:tc>
        <w:tc>
          <w:tcPr>
            <w:tcW w:type="dxa" w:w="4320"/>
          </w:tcPr>
          <w:p>
            <w:r>
              <w:rPr>
                <w:rFonts w:ascii="Sylfaen" w:hAnsi="Sylfaen"/>
                <w:sz w:val="20"/>
              </w:rPr>
              <w:t>დირექტორი / ხარისხის მენეჯერი</w:t>
            </w:r>
          </w:p>
        </w:tc>
      </w:tr>
      <w:tr>
        <w:tc>
          <w:tcPr>
            <w:tcW w:type="dxa" w:w="4320"/>
          </w:tcPr>
          <w:p>
            <w:r>
              <w:rPr>
                <w:rFonts w:ascii="Sylfaen" w:hAnsi="Sylfaen"/>
                <w:b/>
                <w:sz w:val="20"/>
              </w:rPr>
              <w:t>გადახედვის პერიოდულობა</w:t>
            </w:r>
          </w:p>
        </w:tc>
        <w:tc>
          <w:tcPr>
            <w:tcW w:type="dxa" w:w="4320"/>
          </w:tcPr>
          <w:p>
            <w:r>
              <w:rPr>
                <w:rFonts w:ascii="Sylfaen" w:hAnsi="Sylfaen"/>
                <w:sz w:val="20"/>
              </w:rPr>
              <w:t>არანაკლებ 12 თვეში ერთხელ ან მნიშვნელოვანი ცვლილების შემთხვევაში</w:t>
            </w:r>
          </w:p>
        </w:tc>
      </w:tr>
      <w:tr>
        <w:tc>
          <w:tcPr>
            <w:tcW w:type="dxa" w:w="4320"/>
          </w:tcPr>
          <w:p>
            <w:r>
              <w:rPr>
                <w:rFonts w:ascii="Sylfaen" w:hAnsi="Sylfaen"/>
                <w:b/>
                <w:sz w:val="20"/>
              </w:rPr>
              <w:t>სტატუსი</w:t>
            </w:r>
          </w:p>
        </w:tc>
        <w:tc>
          <w:tcPr>
            <w:tcW w:type="dxa" w:w="4320"/>
          </w:tcPr>
          <w:p>
            <w:r>
              <w:rPr>
                <w:rFonts w:ascii="Sylfaen" w:hAnsi="Sylfaen"/>
                <w:sz w:val="20"/>
              </w:rPr>
              <w:t>კონტროლირებადი დოკუმენტი</w:t>
            </w:r>
          </w:p>
        </w:tc>
      </w:tr>
      <w:tr>
        <w:tc>
          <w:tcPr>
            <w:tcW w:type="dxa" w:w="4320"/>
          </w:tcPr>
          <w:p>
            <w:r>
              <w:rPr>
                <w:rFonts w:ascii="Sylfaen" w:hAnsi="Sylfaen"/>
                <w:b/>
                <w:sz w:val="20"/>
              </w:rPr>
              <w:t>გავრცელება</w:t>
            </w:r>
          </w:p>
        </w:tc>
        <w:tc>
          <w:tcPr>
            <w:tcW w:type="dxa" w:w="4320"/>
          </w:tcPr>
          <w:p>
            <w:r>
              <w:rPr>
                <w:rFonts w:ascii="Sylfaen" w:hAnsi="Sylfaen"/>
                <w:sz w:val="20"/>
              </w:rPr>
              <w:t>ორგანიზაციის შიდა გამოყენება; მოთხოვნის შემთხვევაში — აკრედიტაციის ორგანოსათვის</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Sylfaen" w:hAnsi="Sylfaen"/>
                <w:b/>
                <w:sz w:val="22"/>
              </w:rPr>
              <w:t>შემუშავებული</w:t>
            </w:r>
          </w:p>
        </w:tc>
        <w:tc>
          <w:tcPr>
            <w:tcW w:type="dxa" w:w="2880"/>
          </w:tcPr>
          <w:p>
            <w:r>
              <w:rPr>
                <w:rFonts w:ascii="Sylfaen" w:hAnsi="Sylfaen"/>
                <w:b/>
                <w:sz w:val="22"/>
              </w:rPr>
              <w:t>შემოწმებული</w:t>
            </w:r>
          </w:p>
        </w:tc>
        <w:tc>
          <w:tcPr>
            <w:tcW w:type="dxa" w:w="2880"/>
          </w:tcPr>
          <w:p>
            <w:r>
              <w:rPr>
                <w:rFonts w:ascii="Sylfaen" w:hAnsi="Sylfaen"/>
                <w:b/>
                <w:sz w:val="22"/>
              </w:rPr>
              <w:t>დამტკიცებული</w:t>
            </w:r>
          </w:p>
        </w:tc>
      </w:tr>
      <w:tr>
        <w:tc>
          <w:tcPr>
            <w:tcW w:type="dxa" w:w="2880"/>
          </w:tcPr>
          <w:p>
            <w:r>
              <w:rPr>
                <w:rFonts w:ascii="Sylfaen" w:hAnsi="Sylfaen"/>
                <w:sz w:val="20"/>
              </w:rPr>
              <w:t>ხარისხის მენეჯერი</w:t>
              <w:br/>
              <w:br/>
              <w:t>ხელმოწერა:_____________</w:t>
              <w:br/>
              <w:br/>
              <w:t>თარიღი:_____________</w:t>
            </w:r>
          </w:p>
        </w:tc>
        <w:tc>
          <w:tcPr>
            <w:tcW w:type="dxa" w:w="2880"/>
          </w:tcPr>
          <w:p>
            <w:r>
              <w:rPr>
                <w:rFonts w:ascii="Sylfaen" w:hAnsi="Sylfaen"/>
                <w:sz w:val="20"/>
              </w:rPr>
              <w:t>ტექნიკური მენეჯერი</w:t>
              <w:br/>
              <w:br/>
              <w:t>ხელმოწერა:_____________</w:t>
              <w:br/>
              <w:br/>
              <w:t>თარიღი:_____________</w:t>
            </w:r>
          </w:p>
        </w:tc>
        <w:tc>
          <w:tcPr>
            <w:tcW w:type="dxa" w:w="2880"/>
          </w:tcPr>
          <w:p>
            <w:r>
              <w:rPr>
                <w:rFonts w:ascii="Sylfaen" w:hAnsi="Sylfaen"/>
                <w:sz w:val="20"/>
              </w:rPr>
              <w:t>დირექტორი — ლევან საჩიშვილი</w:t>
              <w:br/>
              <w:br/>
              <w:t>ხელმოწერა:_____________</w:t>
              <w:br/>
              <w:br/>
              <w:t>თარიღი:_____________</w:t>
            </w:r>
          </w:p>
        </w:tc>
      </w:tr>
    </w:tbl>
    <w:p/>
    <w:p>
      <w:pPr>
        <w:pStyle w:val="Heading2"/>
      </w:pPr>
      <w:r>
        <w:t>ცვლილებების ისტორია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ვერსია</w:t>
            </w:r>
          </w:p>
        </w:tc>
        <w:tc>
          <w:tcPr>
            <w:tcW w:type="dxa" w:w="2160"/>
          </w:tcPr>
          <w:p>
            <w:r>
              <w:rPr>
                <w:b/>
                <w:sz w:val="20"/>
              </w:rPr>
              <w:t>თარიღი</w:t>
            </w:r>
          </w:p>
        </w:tc>
        <w:tc>
          <w:tcPr>
            <w:tcW w:type="dxa" w:w="2160"/>
          </w:tcPr>
          <w:p>
            <w:r>
              <w:rPr>
                <w:b/>
                <w:sz w:val="20"/>
              </w:rPr>
              <w:t>ცვლილების აღწერა</w:t>
            </w:r>
          </w:p>
        </w:tc>
        <w:tc>
          <w:tcPr>
            <w:tcW w:type="dxa" w:w="2160"/>
          </w:tcPr>
          <w:p>
            <w:r>
              <w:rPr>
                <w:b/>
                <w:sz w:val="20"/>
              </w:rPr>
              <w:t>დამტკიცა</w:t>
            </w:r>
          </w:p>
        </w:tc>
      </w:tr>
      <w:tr>
        <w:tc>
          <w:tcPr>
            <w:tcW w:type="dxa" w:w="2160"/>
          </w:tcPr>
          <w:p>
            <w:r>
              <w:rPr>
                <w:rFonts w:ascii="Sylfaen" w:hAnsi="Sylfaen"/>
                <w:sz w:val="20"/>
              </w:rPr>
              <w:t>2.0</w:t>
            </w:r>
          </w:p>
        </w:tc>
        <w:tc>
          <w:tcPr>
            <w:tcW w:type="dxa" w:w="2160"/>
          </w:tcPr>
          <w:p>
            <w:r>
              <w:rPr>
                <w:rFonts w:ascii="Sylfaen" w:hAnsi="Sylfaen"/>
                <w:sz w:val="20"/>
              </w:rPr>
              <w:t xml:space="preserve">2026 წლის 4 ივნისი (განახლება ISO 17020:2012/2013-ისთვის)</w:t>
            </w:r>
          </w:p>
        </w:tc>
        <w:tc>
          <w:tcPr>
            <w:tcW w:type="dxa" w:w="2160"/>
          </w:tcPr>
          <w:p>
            <w:r>
              <w:rPr>
                <w:rFonts w:ascii="Sylfaen" w:hAnsi="Sylfaen"/>
                <w:sz w:val="20"/>
              </w:rPr>
              <w:t>მეორე გამოცემა — ISO/IEC 17020:2012/2013-თან შესაბამისობაში მოყვანილი</w:t>
            </w:r>
          </w:p>
        </w:tc>
        <w:tc>
          <w:tcPr>
            <w:tcW w:type="dxa" w:w="2160"/>
          </w:tcPr>
          <w:p>
            <w:r>
              <w:rPr>
                <w:rFonts w:ascii="Sylfaen" w:hAnsi="Sylfaen"/>
                <w:sz w:val="20"/>
              </w:rPr>
              <w:t>ლევან საჩიშვილი</w:t>
            </w:r>
          </w:p>
        </w:tc>
      </w:tr>
    </w:tbl>
    <w:p/>
    <w:p>
      <w:r>
        <w:rPr>
          <w:i/>
          <w:sz w:val="20"/>
        </w:rPr>
        <w:t>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p>
    <w:p>
      <w:r>
        <w:br w:type="page"/>
      </w:r>
    </w:p>
    <w:tbl>
      <w:tblPr>
        <w:tblW w:w="9000" w:type="dxa"/>
        <w:tblBorders>
          <w:top w:val="none" w:sz="0" w:color="auto"/>
          <w:left w:val="none" w:sz="0" w:color="auto"/>
          <w:bottom w:val="none" w:sz="0" w:color="auto"/>
          <w:right w:val="none" w:sz="0" w:color="auto"/>
          <w:insideH w:val="none" w:sz="0" w:color="auto"/>
          <w:insideV w:val="none" w:sz="0" w:color="auto"/>
        </w:tblBorders>
        <w:tblCellMar>
          <w:top w:w="0" w:type="dxa"/>
          <w:left w:w="0" w:type="dxa"/>
          <w:bottom w:w="0" w:type="dxa"/>
          <w:right w:w="0" w:type="dxa"/>
        </w:tblCellMar>
      </w:tblPr>
      <w:tblGrid>
        <w:gridCol w:w="9000"/>
      </w:tblGrid>
      <w:tr>
        <w:tc>
          <w:tcPr>
            <w:tcW w:w="9000" w:type="dxa"/>
            <w:shd w:val="clear" w:color="auto" w:fill="EBF5FB"/>
            <w:tcBorders>
              <w:top w:val="none" w:sz="0" w:color="auto"/>
              <w:left w:val="single" w:sz="12" w:color="1A5276"/>
              <w:bottom w:val="none" w:sz="0" w:color="auto"/>
              <w:right w:val="none" w:sz="0" w:color="auto"/>
            </w:tcBorders>
            <w:tcMar>
              <w:top w:w="60" w:type="dxa"/>
              <w:left w:w="180" w:type="dxa"/>
              <w:bottom w:w="60" w:type="dxa"/>
              <w:right w:w="120" w:type="dxa"/>
            </w:tcMar>
          </w:tcPr>
          <w:p>
            <w:pPr>
              <w:spacing w:before="60" w:after="60"/>
            </w:pPr>
            <w:r>
              <w:rPr>
                <w:b/>
                <w:sz w:val="20"/>
                <w:color w:val="1A5276"/>
              </w:rPr>
              <w:t xml:space="preserve">🔧  სამუშაო ინსტრუქცია — ნაბიჯ-ნაბიჯ ინსტრუქტაჟი ინსპექტორისთვის:</w:t>
            </w:r>
          </w:p>
          <w:p>
            <w:pPr>
              <w:spacing w:before="60" w:after="60"/>
            </w:pPr>
            <w:r>
              <w:rPr>
                <w:sz w:val="18"/>
                <w:color w:val="333333"/>
              </w:rPr>
              <w:t xml:space="preserve">ეს ინსტრუქცია (კი, ინსტრუქცია — ანუ კონკრეტული ნაბიჯები) განუმარტავს ინსპექტორს, ტექნიკური ზედამხედველობის ვიზიტებისას:</w:t>
            </w:r>
          </w:p>
          <w:p>
            <w:pPr>
              <w:spacing w:before="60" w:after="60"/>
            </w:pPr>
            <w:r>
              <w:rPr>
                <w:sz w:val="18"/>
                <w:color w:val="333333"/>
              </w:rPr>
              <w:t xml:space="preserve">→ ვიზიტის ჩანაწერი ("ვიზიტის ჟურნალი") — რა ინფორმაცია სავალდებულოა</w:t>
            </w:r>
          </w:p>
          <w:p>
            <w:pPr>
              <w:spacing w:before="60" w:after="60"/>
            </w:pPr>
            <w:r>
              <w:rPr>
                <w:sz w:val="18"/>
                <w:color w:val="333333"/>
              </w:rPr>
              <w:t xml:space="preserve">→ "ფარული სამუშაოს" კონტროლი — ვინ იყო, რა ნახე, ნახაზს ემთხვევა?</w:t>
            </w:r>
          </w:p>
          <w:p>
            <w:pPr>
              <w:spacing w:before="60" w:after="60"/>
            </w:pPr>
            <w:r>
              <w:rPr>
                <w:sz w:val="18"/>
                <w:color w:val="333333"/>
              </w:rPr>
              <w:t xml:space="preserve">→ შენიშვნა-მითითება — ნათელი ენით, კრიტერიუმის მითითებით, ვადით</w:t>
            </w:r>
          </w:p>
          <w:p>
            <w:pPr>
              <w:spacing w:before="60" w:after="60"/>
            </w:pPr>
            <w:r>
              <w:rPr>
                <w:sz w:val="18"/>
                <w:color w:val="333333"/>
              </w:rPr>
              <w:t xml:space="preserve">→ შემდეგ ვიზიტზე: წინა შენიშვნა შესრულებულია? — სტატუსი: "შესრულდა / ნაწილობრივ / ვადა გვიანდება"</w:t>
            </w:r>
          </w:p>
        </w:tc>
      </w:tr>
    </w:tbl>
    <w:p>
      <w:pPr>
        <w:pStyle w:val="Heading1"/>
      </w:pPr>
      <w:r>
        <w:rPr>
          <w:rFonts w:ascii="Sylfaen" w:hAnsi="Sylfaen"/>
          <w:color w:val="1F4E79"/>
          <w:sz w:val="32"/>
        </w:rPr>
        <w:t>1. მიზანი</w:t>
      </w:r>
    </w:p>
    <w:p>
      <w:pPr/>
      <w:r>
        <w:rPr/>
        <w:t xml:space="preserve">მშობელი პროცედურა და QM-01 §1.2 სფერო: წინამდებარე სამუშაო ინსტრუქცია (BE-WI-04) დაქვემდებარებულია ინსპექტირების პროცედურა BE-PR-02-ს და განსაზღვრავს დამოუკიდებელი ტექნიკური ზედამხედველობის ოპერაციულ ნაბიჯებს. ტექნიკური ზედამხედველობა შედის QM-01-ის §1.2-ით განსაზღვრულ ინსპექტირების სფეროებში და ფიგურირებს QM-01-ის კონტროლირებად დოკუმენტთა რეესტრში, რითაც აღმოიფხვრა მისი ადრინდელი „ობოლი“ სტატუსი.</w:t>
      </w:r>
    </w:p>
    <w:p>
      <w:pPr>
        <w:pStyle w:val="Heading3"/>
      </w:pPr>
      <w:r>
        <w:rPr>
          <w:b/>
          <w:sz w:val="24"/>
          <w:szCs w:val="24"/>
        </w:rPr>
        <w:t xml:space="preserve">A ტიპის დამოუკიდებლობის ფარგლები (ISO/IEC 17020 დანართი A)</w:t>
      </w:r>
    </w:p>
    <w:p>
      <w:pPr/>
      <w:r>
        <w:rPr/>
        <w:t xml:space="preserve">ტექნიკური ზედამხედველობა ხორციელდება მკაცრად A ტიპის ინსპექტირების ორგანოს დამოუკიდებლობის ფარგლებში. ორგანო და მთელი პერსონალი არ მონაწილეობს ინსპექტირებული ობიექტის პროექტირებაში, წარმოებაში, მიწოდებაში, მონტაჟში, შეძენაში, ფლობაში, გამოყენებაში ან ტექნიკურ უზრუნველყოფაში. საქმიანობა შემოიფარგლება დამოუკიდებელი დაკვირვებით, ვერიფიკაციითა და შეფასებით; იგი არ მოიცავს და კატეგორიულად გამორიცხავს ობიექტის შესრულებაში, მართვაში, საპროექტო ან სამშენებლო გადაწყვეტილებების მიღებაში, სამუშაოს დაგეგმვაში ან ხელმძღვანელობაში ნებისმიერ მონაწილეობას. ამ ფარგლებში ტექნიკური ზედამხედველობა სრულად შეესაბამება ISO/IEC 17020 დანართ A-ით დადგენილ A ტიპის დამოუკიდებლობას და არ ქმნის ინტერესთა კონფლიქტს. ნებისმიერი გასვლა ამ ფარგლებიდან (მაგ. ავტორის ზედამხედველობა ან სამშენებლო მენეჯმენტი) დაუშვებელია და გამორიცხავს დავალების მიღებას. წინამდებარე დებულება შეესაბამება მიუკერძოებლობის პოლიტიკას (BE-POL-01) და QM-01-ის შესაბამის ნაწილებს.</w:t>
      </w:r>
    </w:p>
    <w:p>
      <w:r>
        <w:rPr>
          <w:rFonts w:ascii="Sylfaen" w:hAnsi="Sylfaen"/>
          <w:b w:val="0"/>
          <w:i w:val="0"/>
          <w:sz w:val="22"/>
        </w:rPr>
        <w:t>ტექნიკური ზედამხედველობა წინამდებარე ინსტრუქციის მიზნებისთვის განისაზღვრება მკაცრად როგორც დამოუკიდებელი, მესამე-მხარის ინსპექტირებითი (დამკვირვებლური და შემფასებლური) საქმიანობა — სამშენებლო პროცესისა და შესრულებული სამუშაოების სისტემური დაკვირვება და შეფასება პროექტთან, მოქმედ ნორმებთან და ხარისხის მოთხოვნებთან შესაბამისობის დასადგენად. ეს არის დროში განაწილებული პროცესი, სადაც კრიტიკულია ეტაპებს შორის კავშირის დანახვა: რა მიგნება დაფიქსირდა, რა მტკიცებულებით დაიხურა, განმეორდა თუ არა იგივე შეუსაბამობა და ხომ არ მიუთითებს იგი სისტემურ სისუსტეზე. ინსპექტირების ორგანო და მისი პერსონალი მხოლოდ აკვირდება, ამოწმებს და აფასებს; ისინი არ მონაწილეობენ ობიექტის შესრულებაში, მართვაში ან გადაწყვეტილებების მიღებაში.</w:t>
      </w:r>
    </w:p>
    <w:p>
      <w:pPr>
        <w:pStyle w:val="Heading1"/>
      </w:pPr>
      <w:r>
        <w:rPr>
          <w:rFonts w:ascii="Sylfaen" w:hAnsi="Sylfaen"/>
          <w:color w:val="1F4E79"/>
          <w:sz w:val="32"/>
        </w:rPr>
        <w:t>2. გამოყენებადობა</w:t>
      </w:r>
    </w:p>
    <w:p>
      <w:r>
        <w:rPr>
          <w:rFonts w:ascii="Sylfaen" w:hAnsi="Sylfaen"/>
          <w:b w:val="0"/>
          <w:i w:val="0"/>
          <w:sz w:val="22"/>
        </w:rPr>
        <w:t>ეს ინსტრუქცია გამოიყენება სამშენებლო პროცესის მიმდინარეობისას, როდესაც დამკვეთს სჭირდება დამოუკიდებელი ინსპექტირებითი დაკვირვება და შეფასება — შესრულებული და ფარული სამუშაოების შესაბამისობის ვერიფიკაცია, ეტაპებს შორის გადახრების ფიქსაცია, ხარისხობრივი დაკვირვება და მტკიცებულებების შეგროვება. ინსპექტირება ხორციელდება პერიოდული დაკვირვებითი ვიზიტებით (ჩვეულებრივ — არანაკლებ თვეში ერთხელ). ინსპექტირების ორგანო არ ახორციელებს ავტორის ზედამხედველობას, სამშენებლო მენეჯმენტს ან სამუშაოს დაგეგმვა-ხელმძღვანელობას; ნებისმიერი ასეთი ფუნქცია გამორიცხავს დავალების მიღებას.</w:t>
      </w:r>
    </w:p>
    <w:p>
      <w:pPr>
        <w:pStyle w:val="Heading1"/>
      </w:pPr>
      <w:r>
        <w:rPr>
          <w:rFonts w:ascii="Sylfaen" w:hAnsi="Sylfaen"/>
          <w:color w:val="1F4E79"/>
          <w:sz w:val="32"/>
        </w:rPr>
        <w:t>3. წინაპირობები</w:t>
      </w:r>
    </w:p>
    <w:p>
      <w:pPr>
        <w:pStyle w:val="Heading2"/>
      </w:pPr>
      <w:r>
        <w:rPr>
          <w:rFonts w:ascii="Sylfaen" w:hAnsi="Sylfaen"/>
          <w:color w:val="2E74B5"/>
          <w:sz w:val="26"/>
        </w:rPr>
        <w:t>3.1 წინასწარი დოკუმენტაცია</w:t>
      </w:r>
    </w:p>
    <w:p>
      <w:pPr>
        <w:pStyle w:val="Heading3"/>
      </w:pPr>
      <w:r>
        <w:rPr>
          <w:b/>
          <w:sz w:val="24"/>
          <w:szCs w:val="24"/>
        </w:rPr>
        <w:t xml:space="preserve">ინსპექტორის ავტორიზაცია და კომპეტენცია (ISO/IEC 17020 §5.1.3, §6.2.6, §6.2.7)</w:t>
      </w:r>
    </w:p>
    <w:p>
      <w:pPr/>
      <w:r>
        <w:rPr/>
        <w:t xml:space="preserve">წინამდებარე სამუშაო ინსტრუქციით გათვალისწინებული ინსპექტირება უნდა განახორციელოს მხოლოდ იმ პერსონალმა, რომელიც ფორმალურად ავტორიზებულია ამ კონკრეტული საქმიანობის სფეროში. ISO/IEC 17020:2012/2013-ის §6.2.6 პუნქტის შესაბამისად, ორგანო ფორმალურად ანიჭებს თითოეულ ინსპექტორს უფლებამოსილებას ინსპექტირების, შედეგების მიმოხილვის, დასკვნის ხელმოწერისა და ანგარიშის გაცემის კონკრეტული ფუნქციების შესასრულებლად. ავტორიზაცია დოკუმენტირდება ორგანიზაციის ავტორიზაციის რეესტრში და კომპეტენციის დამადასტურებელ ფორმაში (BE-FM-COMP, BE-FM-COMP-CHECK).</w:t>
      </w:r>
    </w:p>
    <w:p>
      <w:pPr/>
      <w:r>
        <w:rPr/>
        <w:t xml:space="preserve">ინსპექტორის კომპეტენცია განისაზღვრება, ფასდება და შენარჩუნდება ISO/IEC 17020-ის §6.1 და §5.1.3 პუნქტებისა და კომპეტენციის მართვის პროცედურის შესაბამისად. ინსპექტორს ბოლო 12 თვის განმავლობაში გავლილი უნდა ჰქონდეს ადგილზე დაკვირვებითი (Witness) ან ეკვივალენტური შეფასება (ISO §6.1.7). ავტორიზაციის გარეშე ან მისი ფარგლების გარეთ ინსპექტირების განხორციელება დაუშვებელია; ნებისმიერი გადახრა ფიქსირდება როგორც შეუსაბამობა (ISO §6.2.7).</w:t>
      </w:r>
    </w:p>
    <w:p>
      <w:pPr>
        <w:pStyle w:val="ListBullet"/>
      </w:pPr>
      <w:r>
        <w:rPr>
          <w:rFonts w:ascii="Sylfaen" w:hAnsi="Sylfaen"/>
          <w:sz w:val="22"/>
        </w:rPr>
        <w:t>სრული პროექტი (არქიტექტურა, კონსტრუქცია, ინჟინერია)</w:t>
      </w:r>
    </w:p>
    <w:p>
      <w:pPr>
        <w:pStyle w:val="ListBullet"/>
      </w:pPr>
      <w:r>
        <w:rPr>
          <w:rFonts w:ascii="Sylfaen" w:hAnsi="Sylfaen"/>
          <w:sz w:val="22"/>
        </w:rPr>
        <w:t>მშენებლობის ნებართვა (მთავრობის №255 დადგენილების შესაბამისად)</w:t>
      </w:r>
    </w:p>
    <w:p>
      <w:pPr>
        <w:pStyle w:val="ListBullet"/>
      </w:pPr>
      <w:r>
        <w:rPr>
          <w:rFonts w:ascii="Sylfaen" w:hAnsi="Sylfaen"/>
          <w:sz w:val="22"/>
        </w:rPr>
        <w:t>სამუშაოების კალენდრული გრაფიკი</w:t>
      </w:r>
    </w:p>
    <w:p>
      <w:pPr>
        <w:pStyle w:val="ListBullet"/>
      </w:pPr>
      <w:r>
        <w:rPr>
          <w:rFonts w:ascii="Sylfaen" w:hAnsi="Sylfaen"/>
          <w:sz w:val="22"/>
        </w:rPr>
        <w:t>გენერალური კონტრაქტორის რეკვიზიტები + ლიცენზია</w:t>
      </w:r>
    </w:p>
    <w:p>
      <w:pPr>
        <w:pStyle w:val="ListBullet"/>
      </w:pPr>
      <w:r>
        <w:rPr>
          <w:rFonts w:ascii="Sylfaen" w:hAnsi="Sylfaen"/>
          <w:sz w:val="22"/>
        </w:rPr>
        <w:t>ქვეკონტრაქტორების სია</w:t>
      </w:r>
    </w:p>
    <w:p>
      <w:pPr>
        <w:pStyle w:val="ListBullet"/>
      </w:pPr>
      <w:r>
        <w:rPr>
          <w:rFonts w:ascii="Sylfaen" w:hAnsi="Sylfaen"/>
          <w:sz w:val="22"/>
        </w:rPr>
        <w:t>მასალების ჩამონათვალი — სერტიფიკატები</w:t>
      </w:r>
    </w:p>
    <w:p>
      <w:pPr>
        <w:pStyle w:val="ListBullet"/>
      </w:pPr>
      <w:r>
        <w:rPr>
          <w:rFonts w:ascii="Sylfaen" w:hAnsi="Sylfaen"/>
          <w:sz w:val="22"/>
        </w:rPr>
        <w:t>ხარისხის გეგმა (PoQ — Plan of Quality)</w:t>
      </w:r>
    </w:p>
    <w:p>
      <w:pPr>
        <w:pStyle w:val="Heading2"/>
      </w:pPr>
      <w:r>
        <w:rPr>
          <w:rFonts w:ascii="Sylfaen" w:hAnsi="Sylfaen"/>
          <w:color w:val="2E74B5"/>
          <w:sz w:val="26"/>
        </w:rPr>
        <w:t>3.2 აღჭურვილობა</w:t>
      </w:r>
    </w:p>
    <w:p>
      <w:pPr>
        <w:pStyle w:val="Heading3"/>
      </w:pPr>
      <w:r>
        <w:rPr>
          <w:b/>
          <w:sz w:val="24"/>
          <w:szCs w:val="24"/>
        </w:rPr>
        <w:t xml:space="preserve">ფოტო- და ვიდეოფიქსაციის სავალდებულო მოთხოვნა (QM-01 §10.4.1)</w:t>
      </w:r>
    </w:p>
    <w:p>
      <w:pPr/>
      <w:r>
        <w:rPr/>
        <w:t xml:space="preserve">სამშენებლო ობიექტის ნებისმიერი საველე ინსპექტირებისას ფოტო- და, საჭიროების შემთხვევაში, ვიდეოფიქსაცია სავალდებულოა. თითოეული ფოტო- ან ვიდეომასალა უნდა შეიცავდეს გადაღების თარიღსა და ზუსტ დროს (timestamp), ხოლო ტექნიკური შესაძლებლობის არსებობისას — აგრეთვე გეოლოკაციურ მონაცემს. დაუშვებელია ისეთი ფოტო- ან ვიდეომასალის გამოყენება, რომელსაც არ აქვს ერთმნიშვნელოვნად დადასტურებადი თარიღი, დრო და კონკრეტულ ობიექტთან კავშირი. ეს მოთხოვნა ეფუძნება ხარისხის სახელმძღვანელო QM-01-ის §10.4.1 პუნქტს.</w:t>
      </w:r>
    </w:p>
    <w:p>
      <w:pPr/>
      <w:r>
        <w:rPr/>
        <w:t xml:space="preserve">ფოტო- და ვიდეომასალა აღირიცხება ფოტოდოკუმენტაციის ჟურნალში (BE-FM-PHOTO-LOG) და საველე ჟურნალში (BE-FM-FIELD-LOG), მიებმება შესაბამის მიგნებას ინსპექტირების ანგარიშში (BE-FM-IR) და ინახება საქმის ფაილში მისი მთლიანობისა და მიკვლევადობის უზრუნველმყოფი ფორმით. ფოტო- და ვიდეოფიქსაცია წარმოადგენს მტკიცებულებითი ჯაჭვის სავალდებულო ელემენტს და მისი არარსებობა მიიჩნევა ჩანაწერების სისრულის ხარვეზად (ISO/IEC 17020 §7.3, §7.4).</w:t>
      </w:r>
    </w:p>
    <w:p>
      <w:pPr>
        <w:pStyle w:val="ListBullet"/>
      </w:pPr>
      <w:r>
        <w:rPr>
          <w:rFonts w:ascii="Sylfaen" w:hAnsi="Sylfaen"/>
          <w:sz w:val="22"/>
        </w:rPr>
        <w:t xml:space="preserve">BE-WI-02-ის ყველა აღჭურვილობა + დამატებით:</w:t>
      </w:r>
    </w:p>
    <w:p>
      <w:pPr>
        <w:pStyle w:val="ListBullet"/>
      </w:pPr>
      <w:r>
        <w:rPr>
          <w:rFonts w:ascii="Sylfaen" w:hAnsi="Sylfaen"/>
          <w:sz w:val="22"/>
        </w:rPr>
        <w:t xml:space="preserve">ცილინდრის სკლერომეტრი (ბეტონის სიმტკიცის გამოცდისთვის)</w:t>
      </w:r>
    </w:p>
    <w:p>
      <w:pPr>
        <w:pStyle w:val="ListBullet"/>
      </w:pPr>
      <w:r>
        <w:rPr>
          <w:rFonts w:ascii="Sylfaen" w:hAnsi="Sylfaen"/>
          <w:sz w:val="22"/>
        </w:rPr>
        <w:t>სიგრძის გამზომი — ლაზერული + ბაბთა</w:t>
      </w:r>
    </w:p>
    <w:p>
      <w:pPr>
        <w:pStyle w:val="ListBullet"/>
      </w:pPr>
      <w:r>
        <w:rPr>
          <w:rFonts w:ascii="Sylfaen" w:hAnsi="Sylfaen"/>
          <w:sz w:val="22"/>
        </w:rPr>
        <w:t>ფოტოაპარატი + GPS</w:t>
      </w:r>
    </w:p>
    <w:p>
      <w:pPr>
        <w:pStyle w:val="ListBullet"/>
      </w:pPr>
      <w:r>
        <w:rPr>
          <w:rFonts w:ascii="Sylfaen" w:hAnsi="Sylfaen"/>
          <w:sz w:val="22"/>
        </w:rPr>
        <w:t>სამშენებლო ცხრილი (Spirit Level)</w:t>
      </w:r>
    </w:p>
    <w:p>
      <w:pPr>
        <w:pStyle w:val="ListBullet"/>
      </w:pPr>
      <w:r>
        <w:rPr>
          <w:rFonts w:ascii="Sylfaen" w:hAnsi="Sylfaen"/>
          <w:sz w:val="22"/>
        </w:rPr>
        <w:t>შრომის უსაფრთხოების სრული აღჭურვილობა</w:t>
      </w:r>
    </w:p>
    <w:p>
      <w:r>
        <w:br w:type="page"/>
      </w:r>
    </w:p>
    <w:p>
      <w:pPr>
        <w:pStyle w:val="Heading1"/>
      </w:pPr>
      <w:r>
        <w:rPr>
          <w:rFonts w:ascii="Sylfaen" w:hAnsi="Sylfaen"/>
          <w:color w:val="1F4E79"/>
          <w:sz w:val="32"/>
        </w:rPr>
        <w:t>4. ნორმატიული საფუძველი</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Sylfaen" w:hAnsi="Sylfaen"/>
                <w:b/>
                <w:sz w:val="20"/>
              </w:rPr>
              <w:t>კოდი</w:t>
            </w:r>
          </w:p>
        </w:tc>
        <w:tc>
          <w:tcPr>
            <w:tcW w:type="dxa" w:w="2880"/>
          </w:tcPr>
          <w:p>
            <w:r>
              <w:rPr>
                <w:rFonts w:ascii="Sylfaen" w:hAnsi="Sylfaen"/>
                <w:b/>
                <w:sz w:val="20"/>
              </w:rPr>
              <w:t>დოკუმენტი</w:t>
            </w:r>
          </w:p>
        </w:tc>
        <w:tc>
          <w:tcPr>
            <w:tcW w:type="dxa" w:w="2880"/>
          </w:tcPr>
          <w:p>
            <w:r>
              <w:rPr>
                <w:rFonts w:ascii="Sylfaen" w:hAnsi="Sylfaen"/>
                <w:b/>
                <w:sz w:val="20"/>
              </w:rPr>
              <w:t>გამოყენება</w:t>
            </w:r>
          </w:p>
        </w:tc>
      </w:tr>
      <w:tr>
        <w:tc>
          <w:tcPr>
            <w:tcW w:type="dxa" w:w="2880"/>
          </w:tcPr>
          <w:p>
            <w:r>
              <w:rPr>
                <w:rFonts w:ascii="Sylfaen" w:hAnsi="Sylfaen"/>
                <w:sz w:val="20"/>
              </w:rPr>
              <w:t>ISO-1</w:t>
            </w:r>
          </w:p>
        </w:tc>
        <w:tc>
          <w:tcPr>
            <w:tcW w:type="dxa" w:w="2880"/>
          </w:tcPr>
          <w:p>
            <w:r>
              <w:rPr>
                <w:rFonts w:ascii="Sylfaen" w:hAnsi="Sylfaen"/>
                <w:sz w:val="20"/>
              </w:rPr>
              <w:t xml:space="preserve">ISO/IEC 17020:2012/2013 §7.1.1–§7.1.3, §7.1.7; §7.4.5 (საჭიროებისას ცვლილებების ანგარიშგება)</w:t>
            </w:r>
          </w:p>
        </w:tc>
        <w:tc>
          <w:tcPr>
            <w:tcW w:type="dxa" w:w="2880"/>
          </w:tcPr>
          <w:p>
            <w:r>
              <w:rPr>
                <w:rFonts w:ascii="Sylfaen" w:hAnsi="Sylfaen"/>
                <w:sz w:val="20"/>
              </w:rPr>
              <w:t>ცვლილებების მკვლეობა — ეტაპებს შორის</w:t>
            </w:r>
          </w:p>
        </w:tc>
      </w:tr>
      <w:tr>
        <w:tc>
          <w:tcPr>
            <w:tcW w:type="dxa" w:w="2880"/>
          </w:tcPr>
          <w:p>
            <w:r>
              <w:rPr>
                <w:rFonts w:ascii="Sylfaen" w:hAnsi="Sylfaen"/>
                <w:sz w:val="20"/>
              </w:rPr>
              <w:t>RUS-3</w:t>
            </w:r>
          </w:p>
        </w:tc>
        <w:tc>
          <w:tcPr>
            <w:tcW w:type="dxa" w:w="2880"/>
          </w:tcPr>
          <w:p>
            <w:r>
              <w:rPr>
                <w:rFonts w:ascii="Sylfaen" w:hAnsi="Sylfaen"/>
                <w:sz w:val="20"/>
              </w:rPr>
              <w:t>სამშენებლო ნორმები და წესები (СНиП) 3.01.01-85</w:t>
            </w:r>
          </w:p>
        </w:tc>
        <w:tc>
          <w:tcPr>
            <w:tcW w:type="dxa" w:w="2880"/>
          </w:tcPr>
          <w:p>
            <w:r>
              <w:rPr>
                <w:rFonts w:ascii="Sylfaen" w:hAnsi="Sylfaen"/>
                <w:sz w:val="20"/>
              </w:rPr>
              <w:t>სამშენებლო წარმოების ორგანიზაცია</w:t>
            </w:r>
          </w:p>
        </w:tc>
      </w:tr>
      <w:tr>
        <w:tc>
          <w:tcPr>
            <w:tcW w:type="dxa" w:w="2880"/>
          </w:tcPr>
          <w:p>
            <w:r>
              <w:rPr>
                <w:rFonts w:ascii="Sylfaen" w:hAnsi="Sylfaen"/>
                <w:sz w:val="20"/>
              </w:rPr>
              <w:t>RUS-4</w:t>
            </w:r>
          </w:p>
        </w:tc>
        <w:tc>
          <w:tcPr>
            <w:tcW w:type="dxa" w:w="2880"/>
          </w:tcPr>
          <w:p>
            <w:r>
              <w:rPr>
                <w:rFonts w:ascii="Sylfaen" w:hAnsi="Sylfaen"/>
                <w:sz w:val="20"/>
              </w:rPr>
              <w:t>სამშენებლო ნორმები და წესები (СНиП) 3.03.01-87</w:t>
            </w:r>
          </w:p>
        </w:tc>
        <w:tc>
          <w:tcPr>
            <w:tcW w:type="dxa" w:w="2880"/>
          </w:tcPr>
          <w:p>
            <w:r>
              <w:rPr>
                <w:rFonts w:ascii="Sylfaen" w:hAnsi="Sylfaen"/>
                <w:sz w:val="20"/>
              </w:rPr>
              <w:t xml:space="preserve">ლითონის (მზიდი და შემომზღუდველი) კონსტრუქციები</w:t>
            </w:r>
          </w:p>
        </w:tc>
      </w:tr>
      <w:tr>
        <w:tc>
          <w:tcPr>
            <w:tcW w:type="dxa" w:w="2880"/>
          </w:tcPr>
          <w:p>
            <w:r>
              <w:rPr>
                <w:rFonts w:ascii="Sylfaen" w:hAnsi="Sylfaen"/>
                <w:sz w:val="20"/>
              </w:rPr>
              <w:t>RUS-5</w:t>
            </w:r>
          </w:p>
        </w:tc>
        <w:tc>
          <w:tcPr>
            <w:tcW w:type="dxa" w:w="2880"/>
          </w:tcPr>
          <w:p>
            <w:r>
              <w:rPr>
                <w:rFonts w:ascii="Sylfaen" w:hAnsi="Sylfaen"/>
                <w:sz w:val="20"/>
              </w:rPr>
              <w:t>სამშენებლო ნორმები და წესები (СНиП) II-7-81*</w:t>
            </w:r>
          </w:p>
        </w:tc>
        <w:tc>
          <w:tcPr>
            <w:tcW w:type="dxa" w:w="2880"/>
          </w:tcPr>
          <w:p>
            <w:r>
              <w:rPr>
                <w:rFonts w:ascii="Sylfaen" w:hAnsi="Sylfaen"/>
                <w:sz w:val="20"/>
              </w:rPr>
              <w:t>სეისმური დიზაინი</w:t>
            </w:r>
          </w:p>
        </w:tc>
      </w:tr>
      <w:tr>
        <w:tc>
          <w:tcPr>
            <w:tcW w:type="dxa" w:w="2880"/>
          </w:tcPr>
          <w:p>
            <w:r>
              <w:rPr>
                <w:rFonts w:ascii="Sylfaen" w:hAnsi="Sylfaen"/>
                <w:sz w:val="20"/>
              </w:rPr>
              <w:t>RUS-6</w:t>
            </w:r>
          </w:p>
        </w:tc>
        <w:tc>
          <w:tcPr>
            <w:tcW w:type="dxa" w:w="2880"/>
          </w:tcPr>
          <w:p>
            <w:r>
              <w:rPr>
                <w:rFonts w:ascii="Sylfaen" w:hAnsi="Sylfaen"/>
                <w:sz w:val="20"/>
              </w:rPr>
              <w:t>სამშენებლო ნორმები და წესები (СНиП) 2.03.01-84</w:t>
            </w:r>
          </w:p>
        </w:tc>
        <w:tc>
          <w:tcPr>
            <w:tcW w:type="dxa" w:w="2880"/>
          </w:tcPr>
          <w:p>
            <w:r>
              <w:rPr>
                <w:rFonts w:ascii="Sylfaen" w:hAnsi="Sylfaen"/>
                <w:sz w:val="20"/>
              </w:rPr>
              <w:t>რკინაბეტონის კონსტრუქციები</w:t>
            </w:r>
          </w:p>
        </w:tc>
      </w:tr>
      <w:tr>
        <w:tc>
          <w:tcPr>
            <w:tcW w:type="dxa" w:w="2880"/>
          </w:tcPr>
          <w:p>
            <w:r>
              <w:rPr>
                <w:rFonts w:ascii="Sylfaen" w:hAnsi="Sylfaen"/>
                <w:sz w:val="20"/>
              </w:rPr>
              <w:t>RUS-7</w:t>
            </w:r>
          </w:p>
        </w:tc>
        <w:tc>
          <w:tcPr>
            <w:tcW w:type="dxa" w:w="2880"/>
          </w:tcPr>
          <w:p>
            <w:r>
              <w:rPr>
                <w:rFonts w:ascii="Sylfaen" w:hAnsi="Sylfaen"/>
                <w:sz w:val="20"/>
              </w:rPr>
              <w:t>სამშენებლო ნორმები და წესები (СНиП) 2.01.07-85</w:t>
            </w:r>
          </w:p>
        </w:tc>
        <w:tc>
          <w:tcPr>
            <w:tcW w:type="dxa" w:w="2880"/>
          </w:tcPr>
          <w:p>
            <w:r>
              <w:rPr>
                <w:rFonts w:ascii="Sylfaen" w:hAnsi="Sylfaen"/>
                <w:sz w:val="20"/>
              </w:rPr>
              <w:t>დატვირთვები</w:t>
            </w:r>
          </w:p>
        </w:tc>
      </w:tr>
      <w:tr>
        <w:tc>
          <w:tcPr>
            <w:tcW w:type="dxa" w:w="2880"/>
          </w:tcPr>
          <w:p>
            <w:r>
              <w:rPr>
                <w:rFonts w:ascii="Sylfaen" w:hAnsi="Sylfaen"/>
                <w:sz w:val="20"/>
              </w:rPr>
              <w:t>RUS-8</w:t>
            </w:r>
          </w:p>
        </w:tc>
        <w:tc>
          <w:tcPr>
            <w:tcW w:type="dxa" w:w="2880"/>
          </w:tcPr>
          <w:p>
            <w:r>
              <w:rPr>
                <w:rFonts w:ascii="Sylfaen" w:hAnsi="Sylfaen"/>
                <w:sz w:val="20"/>
              </w:rPr>
              <w:t>სამშენებლო ნორმები და წესები (СНиП) 12-04-2002</w:t>
            </w:r>
          </w:p>
        </w:tc>
        <w:tc>
          <w:tcPr>
            <w:tcW w:type="dxa" w:w="2880"/>
          </w:tcPr>
          <w:p>
            <w:r>
              <w:rPr>
                <w:rFonts w:ascii="Sylfaen" w:hAnsi="Sylfaen"/>
                <w:sz w:val="20"/>
              </w:rPr>
              <w:t>უსაფრთხოება</w:t>
            </w:r>
          </w:p>
        </w:tc>
      </w:tr>
      <w:tr>
        <w:tc>
          <w:tcPr>
            <w:tcW w:type="dxa" w:w="2880"/>
          </w:tcPr>
          <w:p>
            <w:r>
              <w:rPr>
                <w:rFonts w:ascii="Sylfaen" w:hAnsi="Sylfaen"/>
                <w:sz w:val="20"/>
              </w:rPr>
              <w:t>GE-LAW-2</w:t>
            </w:r>
          </w:p>
        </w:tc>
        <w:tc>
          <w:tcPr>
            <w:tcW w:type="dxa" w:w="2880"/>
          </w:tcPr>
          <w:p>
            <w:r>
              <w:rPr>
                <w:rFonts w:ascii="Sylfaen" w:hAnsi="Sylfaen"/>
                <w:sz w:val="20"/>
              </w:rPr>
              <w:t>სივრცის კოდექსი</w:t>
            </w:r>
          </w:p>
        </w:tc>
        <w:tc>
          <w:tcPr>
            <w:tcW w:type="dxa" w:w="2880"/>
          </w:tcPr>
          <w:p>
            <w:r>
              <w:rPr>
                <w:rFonts w:ascii="Sylfaen" w:hAnsi="Sylfaen"/>
                <w:sz w:val="20"/>
              </w:rPr>
              <w:t>მშენებლობის რეგულაცია</w:t>
            </w:r>
          </w:p>
        </w:tc>
      </w:tr>
      <w:tr>
        <w:tc>
          <w:tcPr>
            <w:tcW w:type="dxa" w:w="2880"/>
          </w:tcPr>
          <w:p>
            <w:r>
              <w:rPr>
                <w:rFonts w:ascii="Sylfaen" w:hAnsi="Sylfaen"/>
                <w:sz w:val="20"/>
              </w:rPr>
              <w:t>GE-DEC-1</w:t>
            </w:r>
          </w:p>
        </w:tc>
        <w:tc>
          <w:tcPr>
            <w:tcW w:type="dxa" w:w="2880"/>
          </w:tcPr>
          <w:p>
            <w:r>
              <w:rPr>
                <w:rFonts w:ascii="Sylfaen" w:hAnsi="Sylfaen"/>
                <w:sz w:val="20"/>
              </w:rPr>
              <w:t>მთავრობის №255</w:t>
            </w:r>
          </w:p>
        </w:tc>
        <w:tc>
          <w:tcPr>
            <w:tcW w:type="dxa" w:w="2880"/>
          </w:tcPr>
          <w:p>
            <w:r>
              <w:rPr>
                <w:rFonts w:ascii="Sylfaen" w:hAnsi="Sylfaen"/>
                <w:sz w:val="20"/>
              </w:rPr>
              <w:t>ნებართვა</w:t>
            </w:r>
          </w:p>
        </w:tc>
      </w:tr>
      <w:tr>
        <w:tc>
          <w:tcPr>
            <w:tcW w:type="dxa" w:w="2880"/>
          </w:tcPr>
          <w:p>
            <w:r>
              <w:rPr>
                <w:rFonts w:ascii="Sylfaen" w:hAnsi="Sylfaen"/>
                <w:sz w:val="20"/>
              </w:rPr>
              <w:t>GE-DEC-2</w:t>
            </w:r>
          </w:p>
        </w:tc>
        <w:tc>
          <w:tcPr>
            <w:tcW w:type="dxa" w:w="2880"/>
          </w:tcPr>
          <w:p>
            <w:r>
              <w:rPr>
                <w:rFonts w:ascii="Sylfaen" w:hAnsi="Sylfaen"/>
                <w:sz w:val="20"/>
              </w:rPr>
              <w:t>მთავრობის №473</w:t>
            </w:r>
          </w:p>
        </w:tc>
        <w:tc>
          <w:tcPr>
            <w:tcW w:type="dxa" w:w="2880"/>
          </w:tcPr>
          <w:p>
            <w:r>
              <w:rPr>
                <w:rFonts w:ascii="Sylfaen" w:hAnsi="Sylfaen"/>
                <w:sz w:val="20"/>
              </w:rPr>
              <w:t>ექსპლუატაცია</w:t>
            </w:r>
          </w:p>
        </w:tc>
      </w:tr>
    </w:tbl>
    <w:p>
      <w:r>
        <w:br w:type="page"/>
      </w:r>
    </w:p>
    <w:p>
      <w:pPr>
        <w:pStyle w:val="Heading1"/>
      </w:pPr>
      <w:r>
        <w:rPr>
          <w:rFonts w:ascii="Sylfaen" w:hAnsi="Sylfaen"/>
          <w:color w:val="1F4E79"/>
          <w:sz w:val="32"/>
        </w:rPr>
        <w:t>5. ეტაპობრივი ინსპექტირების მეთოდოლოგია</w:t>
      </w:r>
    </w:p>
    <w:p>
      <w:pPr>
        <w:pStyle w:val="Heading2"/>
      </w:pPr>
      <w:r>
        <w:rPr>
          <w:rFonts w:ascii="Sylfaen" w:hAnsi="Sylfaen"/>
          <w:color w:val="2E74B5"/>
          <w:sz w:val="26"/>
        </w:rPr>
        <w:t>ეტაპი 1 — საწყისი ინსპექტირება (პროექტის და საიტის შემოწმება)</w:t>
      </w:r>
    </w:p>
    <w:p>
      <w:pPr>
        <w:pStyle w:val="ListNumber"/>
      </w:pPr>
      <w:r>
        <w:rPr>
          <w:rFonts w:ascii="Sylfaen" w:hAnsi="Sylfaen"/>
          <w:sz w:val="22"/>
        </w:rPr>
        <w:t>მშენებლობის ნებართვის ვერიფიკაცია — გაცემული, მოქმედი, ფარგლები სწორი.</w:t>
      </w:r>
    </w:p>
    <w:p>
      <w:pPr>
        <w:pStyle w:val="ListNumber"/>
      </w:pPr>
      <w:r>
        <w:rPr>
          <w:rFonts w:ascii="Sylfaen" w:hAnsi="Sylfaen"/>
          <w:sz w:val="22"/>
        </w:rPr>
        <w:t>გენ. კონტრაქტორის ლიცენზიის შემოწმება.</w:t>
      </w:r>
    </w:p>
    <w:p>
      <w:pPr>
        <w:pStyle w:val="ListNumber"/>
      </w:pPr>
      <w:r>
        <w:rPr>
          <w:rFonts w:ascii="Sylfaen" w:hAnsi="Sylfaen"/>
          <w:sz w:val="22"/>
        </w:rPr>
        <w:t>საიტის გეოდეზიური და გეოლოგიური ანგარიშების შემოწმება.</w:t>
      </w:r>
    </w:p>
    <w:p>
      <w:pPr>
        <w:pStyle w:val="ListNumber"/>
      </w:pPr>
      <w:r>
        <w:rPr>
          <w:rFonts w:ascii="Sylfaen" w:hAnsi="Sylfaen"/>
          <w:sz w:val="22"/>
        </w:rPr>
        <w:t>უსაფრთხოების გეგმის შემოწმება (სამშენებლო ნორმები და წესები (СНиП) 12-04-2002).</w:t>
      </w:r>
    </w:p>
    <w:p>
      <w:pPr>
        <w:pStyle w:val="ListNumber"/>
      </w:pPr>
      <w:r>
        <w:rPr>
          <w:rFonts w:ascii="Sylfaen" w:hAnsi="Sylfaen"/>
          <w:sz w:val="22"/>
        </w:rPr>
        <w:t>სამუშაო ჯგუფის შემადგენლობა — ლიცენზიები, კვალიფიკაცია.</w:t>
      </w:r>
    </w:p>
    <w:p>
      <w:pPr>
        <w:pStyle w:val="ListNumber"/>
      </w:pPr>
      <w:r>
        <w:rPr>
          <w:rFonts w:ascii="Sylfaen" w:hAnsi="Sylfaen"/>
          <w:sz w:val="22"/>
        </w:rPr>
        <w:t>მასალების შესყიდვის გეგმა.</w:t>
      </w:r>
    </w:p>
    <w:p>
      <w:pPr>
        <w:pStyle w:val="Heading2"/>
      </w:pPr>
      <w:r>
        <w:rPr>
          <w:rFonts w:ascii="Sylfaen" w:hAnsi="Sylfaen"/>
          <w:color w:val="2E74B5"/>
          <w:sz w:val="26"/>
        </w:rPr>
        <w:t>ეტაპი 2 — საწყისი ფიზიკური ინსპექტირება</w:t>
      </w:r>
    </w:p>
    <w:p>
      <w:pPr>
        <w:pStyle w:val="ListNumber"/>
      </w:pPr>
      <w:r>
        <w:rPr>
          <w:rFonts w:ascii="Sylfaen" w:hAnsi="Sylfaen"/>
          <w:sz w:val="22"/>
        </w:rPr>
        <w:t>საწყისი დათვალიერება — ობიექტის მდებარეობა, ფართობი, საზღვრები.</w:t>
      </w:r>
    </w:p>
    <w:p>
      <w:pPr>
        <w:pStyle w:val="ListNumber"/>
      </w:pPr>
      <w:r>
        <w:rPr>
          <w:rFonts w:ascii="Sylfaen" w:hAnsi="Sylfaen"/>
          <w:sz w:val="22"/>
        </w:rPr>
        <w:t>მიწის სამუშაოების ფიქსაცია — გრუნტის სიღრმე, წყლის დონე.</w:t>
      </w:r>
    </w:p>
    <w:p>
      <w:pPr>
        <w:pStyle w:val="ListNumber"/>
      </w:pPr>
      <w:r>
        <w:rPr>
          <w:rFonts w:ascii="Sylfaen" w:hAnsi="Sylfaen"/>
          <w:sz w:val="22"/>
        </w:rPr>
        <w:t>გეოდეზიური ნიშნები — სიზუსტე, შენარჩუნება.</w:t>
      </w:r>
    </w:p>
    <w:p>
      <w:pPr>
        <w:pStyle w:val="ListNumber"/>
      </w:pPr>
      <w:r>
        <w:rPr>
          <w:rFonts w:ascii="Sylfaen" w:hAnsi="Sylfaen"/>
          <w:sz w:val="22"/>
        </w:rPr>
        <w:t>უსაფრთხოების მოწყობა — ღობეები, ნიშანდება, განათება.</w:t>
      </w:r>
    </w:p>
    <w:p>
      <w:pPr>
        <w:pStyle w:val="ListNumber"/>
      </w:pPr>
      <w:r>
        <w:rPr>
          <w:rFonts w:ascii="Sylfaen" w:hAnsi="Sylfaen"/>
          <w:sz w:val="22"/>
        </w:rPr>
        <w:t>ფოტოდოკუმენტირება — ეტალონური ფოტო (Baseline).</w:t>
      </w:r>
    </w:p>
    <w:p>
      <w:pPr>
        <w:pStyle w:val="Heading2"/>
      </w:pPr>
      <w:r>
        <w:rPr>
          <w:rFonts w:ascii="Sylfaen" w:hAnsi="Sylfaen"/>
          <w:color w:val="2E74B5"/>
          <w:sz w:val="26"/>
        </w:rPr>
        <w:t>ეტაპი 3 — პერიოდული ვიზიტები (თვეში 1-ჯერ ან გრაფიკის მიხედვით)</w:t>
      </w:r>
    </w:p>
    <w:p>
      <w:pPr>
        <w:pStyle w:val="ListNumber"/>
      </w:pPr>
      <w:r>
        <w:rPr>
          <w:rFonts w:ascii="Sylfaen" w:hAnsi="Sylfaen"/>
          <w:sz w:val="22"/>
        </w:rPr>
        <w:t>ყოველი ვიზიტის წინ — წინა ვიზიტის შენიშვნების გადახედვა.</w:t>
      </w:r>
    </w:p>
    <w:p>
      <w:pPr>
        <w:pStyle w:val="ListNumber"/>
      </w:pPr>
      <w:r>
        <w:rPr>
          <w:rFonts w:ascii="Sylfaen" w:hAnsi="Sylfaen"/>
          <w:sz w:val="22"/>
        </w:rPr>
        <w:t>შემოწმება — წინა შენიშვნა გასწორდა?</w:t>
      </w:r>
    </w:p>
    <w:p>
      <w:pPr>
        <w:pStyle w:val="ListNumber"/>
      </w:pPr>
      <w:r>
        <w:rPr>
          <w:rFonts w:ascii="Sylfaen" w:hAnsi="Sylfaen"/>
          <w:sz w:val="22"/>
        </w:rPr>
        <w:t>მიმდინარე ეტაპის შემოწმება (სამშენებლო ნორმები და წესები (СНиП)-ის შესაბამისად):</w:t>
      </w:r>
    </w:p>
    <w:p>
      <w:pPr>
        <w:pStyle w:val="ListBullet"/>
      </w:pPr>
      <w:r>
        <w:rPr>
          <w:rFonts w:ascii="Sylfaen" w:hAnsi="Sylfaen"/>
          <w:sz w:val="22"/>
        </w:rPr>
        <w:t>მიწის სამუშაოები — გრუნტის ჩაჯდომა, სიღრმე, განშლა</w:t>
      </w:r>
    </w:p>
    <w:p>
      <w:pPr>
        <w:pStyle w:val="ListBullet"/>
      </w:pPr>
      <w:r>
        <w:rPr>
          <w:rFonts w:ascii="Sylfaen" w:hAnsi="Sylfaen"/>
          <w:sz w:val="22"/>
        </w:rPr>
        <w:t>საძირკველი — გეომეტრია, არმატურა, ბეტონის ხარისხი</w:t>
      </w:r>
    </w:p>
    <w:p>
      <w:pPr>
        <w:pStyle w:val="ListBullet"/>
      </w:pPr>
      <w:r>
        <w:rPr>
          <w:rFonts w:ascii="Sylfaen" w:hAnsi="Sylfaen"/>
          <w:sz w:val="22"/>
        </w:rPr>
        <w:t>კედლები — ვერტიკალი, ჰორიზონტალი, მასალის ხარისხი, შენაერთები</w:t>
      </w:r>
    </w:p>
    <w:p>
      <w:pPr>
        <w:pStyle w:val="ListBullet"/>
      </w:pPr>
      <w:r>
        <w:rPr>
          <w:rFonts w:ascii="Sylfaen" w:hAnsi="Sylfaen"/>
          <w:sz w:val="22"/>
        </w:rPr>
        <w:t>გადახურვა — სიმტკიცე, ფიქსაცია, ჰიდროიზოლაცია</w:t>
      </w:r>
    </w:p>
    <w:p>
      <w:pPr>
        <w:pStyle w:val="ListBullet"/>
      </w:pPr>
      <w:r>
        <w:rPr>
          <w:rFonts w:ascii="Sylfaen" w:hAnsi="Sylfaen"/>
          <w:sz w:val="22"/>
        </w:rPr>
        <w:t>სახურავი — ფერდები, წყალდინება, თბოიზოლაცია</w:t>
      </w:r>
    </w:p>
    <w:p>
      <w:pPr>
        <w:pStyle w:val="ListBullet"/>
      </w:pPr>
      <w:r>
        <w:rPr>
          <w:rFonts w:ascii="Sylfaen" w:hAnsi="Sylfaen"/>
          <w:sz w:val="22"/>
        </w:rPr>
        <w:t>ფასადი — ხარისხი, ჰერმეტიკა, კავშირები</w:t>
      </w:r>
    </w:p>
    <w:p>
      <w:pPr>
        <w:pStyle w:val="ListBullet"/>
      </w:pPr>
      <w:r>
        <w:rPr>
          <w:rFonts w:ascii="Sylfaen" w:hAnsi="Sylfaen"/>
          <w:sz w:val="22"/>
        </w:rPr>
        <w:t>ინჟინერიული — წყალგაყვანილობა, კანალიზაცია, ელექტრო, გათბობა</w:t>
      </w:r>
    </w:p>
    <w:p>
      <w:pPr>
        <w:pStyle w:val="ListNumber"/>
      </w:pPr>
      <w:r>
        <w:rPr>
          <w:rFonts w:ascii="Sylfaen" w:hAnsi="Sylfaen"/>
          <w:sz w:val="22"/>
        </w:rPr>
        <w:t>ფარული სამუშაოების მონიტორინგი:</w:t>
      </w:r>
    </w:p>
    <w:p>
      <w:pPr>
        <w:pStyle w:val="ListBullet"/>
      </w:pPr>
      <w:r>
        <w:rPr>
          <w:rFonts w:ascii="Sylfaen" w:hAnsi="Sylfaen"/>
          <w:sz w:val="22"/>
        </w:rPr>
        <w:t>მიწის ფარული სამუშაო — საწყისი ვერტიკალი/ჰორიზონტალი</w:t>
      </w:r>
    </w:p>
    <w:p>
      <w:pPr>
        <w:pStyle w:val="ListBullet"/>
      </w:pPr>
      <w:r>
        <w:rPr>
          <w:rFonts w:ascii="Sylfaen" w:hAnsi="Sylfaen"/>
          <w:sz w:val="22"/>
        </w:rPr>
        <w:t>ფარული სამუშაო კედელში — არმატურა, ჰიდროიზოლაცია</w:t>
      </w:r>
    </w:p>
    <w:p>
      <w:pPr>
        <w:pStyle w:val="ListBullet"/>
      </w:pPr>
      <w:r>
        <w:rPr>
          <w:rFonts w:ascii="Sylfaen" w:hAnsi="Sylfaen"/>
          <w:sz w:val="22"/>
        </w:rPr>
        <w:t>ფარული გადახურვაში — არმატურა, ჰიდროიზოლაცია, თბოიზოლაცია</w:t>
      </w:r>
    </w:p>
    <w:p>
      <w:pPr>
        <w:pStyle w:val="ListBullet"/>
      </w:pPr>
      <w:r>
        <w:rPr>
          <w:rFonts w:ascii="Sylfaen" w:hAnsi="Sylfaen"/>
          <w:sz w:val="22"/>
        </w:rPr>
        <w:t>ფარული სამუშაოების АОК-ების (ფარული სამუშაოს ოსვიდეტელსტვის აქტი) დამოუკიდებელი ვერიფიკაცია — ინსპექტორი ამოწმებს, რომ ფარული სამუშაოს გადახურვამდე გაცემული იქნა შესაბამისი აქტი დადგენილი წესითა და ხელმოწერებით; ინსპექტირების ორგანო თვითონ არ გასცემს და არ ამტკიცებს ამ აქტებს, არამედ მხოლოდ ამოწმებს მათ არსებობას, სისრულესა და სისწორეს.</w:t>
      </w:r>
    </w:p>
    <w:p>
      <w:pPr>
        <w:pStyle w:val="ListNumber"/>
      </w:pPr>
      <w:r>
        <w:rPr>
          <w:rFonts w:ascii="Sylfaen" w:hAnsi="Sylfaen"/>
          <w:sz w:val="22"/>
        </w:rPr>
        <w:t>ხარისხის ტესტები:</w:t>
      </w:r>
    </w:p>
    <w:p>
      <w:pPr>
        <w:pStyle w:val="ListBullet"/>
      </w:pPr>
      <w:r>
        <w:rPr>
          <w:rFonts w:ascii="Sylfaen" w:hAnsi="Sylfaen"/>
          <w:sz w:val="22"/>
        </w:rPr>
        <w:t xml:space="preserve">ბეტონის სიმტკიცე — ცილინდრის სკლერომეტრით (სამშენებლო ნორმები და წესები (СНиП) 2.03.01-84)</w:t>
      </w:r>
    </w:p>
    <w:p>
      <w:pPr>
        <w:pStyle w:val="ListBullet"/>
      </w:pPr>
      <w:r>
        <w:rPr>
          <w:rFonts w:ascii="Sylfaen" w:hAnsi="Sylfaen"/>
          <w:sz w:val="22"/>
        </w:rPr>
        <w:t>გეომეტრიის სიზუსტე — ვერტიკალი ±5 მმ, ჰორიზონტალი ±10 მმ (სამშენებლო ნორმები და წესები (СНиП) 3.03.01-87)</w:t>
      </w:r>
    </w:p>
    <w:p>
      <w:pPr>
        <w:pStyle w:val="ListBullet"/>
      </w:pPr>
      <w:r>
        <w:rPr>
          <w:rFonts w:ascii="Sylfaen" w:hAnsi="Sylfaen"/>
          <w:sz w:val="22"/>
        </w:rPr>
        <w:t>მასალების სერტიფიკატების შემოწმება (პასპორტები)</w:t>
      </w:r>
    </w:p>
    <w:p>
      <w:pPr>
        <w:pStyle w:val="Heading2"/>
      </w:pPr>
      <w:r>
        <w:rPr>
          <w:rFonts w:ascii="Sylfaen" w:hAnsi="Sylfaen"/>
          <w:color w:val="2E74B5"/>
          <w:sz w:val="26"/>
        </w:rPr>
        <w:t>ეტაპი 4 — ვიზიტის ჩანაწერი</w:t>
      </w:r>
    </w:p>
    <w:p>
      <w:pPr>
        <w:pStyle w:val="ListNumber"/>
      </w:pPr>
      <w:r>
        <w:rPr>
          <w:rFonts w:ascii="Sylfaen" w:hAnsi="Sylfaen"/>
          <w:sz w:val="22"/>
        </w:rPr>
        <w:t xml:space="preserve">BE-FM-MONITORING-VISIT — სრული ჩანაწერი თითოეული ვიზიტისთვის:</w:t>
      </w:r>
    </w:p>
    <w:p>
      <w:pPr>
        <w:pStyle w:val="ListBullet"/>
      </w:pPr>
      <w:r>
        <w:rPr>
          <w:rFonts w:ascii="Sylfaen" w:hAnsi="Sylfaen"/>
          <w:sz w:val="22"/>
        </w:rPr>
        <w:t>თარიღი, საათი, ამინდი</w:t>
      </w:r>
    </w:p>
    <w:p>
      <w:pPr>
        <w:pStyle w:val="ListBullet"/>
      </w:pPr>
      <w:r>
        <w:rPr>
          <w:rFonts w:ascii="Sylfaen" w:hAnsi="Sylfaen"/>
          <w:sz w:val="22"/>
        </w:rPr>
        <w:t>ვიზიტის ფარგლები</w:t>
      </w:r>
    </w:p>
    <w:p>
      <w:pPr>
        <w:pStyle w:val="ListBullet"/>
      </w:pPr>
      <w:r>
        <w:rPr>
          <w:rFonts w:ascii="Sylfaen" w:hAnsi="Sylfaen"/>
          <w:sz w:val="22"/>
        </w:rPr>
        <w:t>შემოწმებული სამუშაოები</w:t>
      </w:r>
    </w:p>
    <w:p>
      <w:pPr>
        <w:pStyle w:val="ListBullet"/>
      </w:pPr>
      <w:r>
        <w:rPr>
          <w:rFonts w:ascii="Sylfaen" w:hAnsi="Sylfaen"/>
          <w:sz w:val="22"/>
        </w:rPr>
        <w:t>მიგნებები (კრიტიკული, მცირე, OBS)</w:t>
      </w:r>
    </w:p>
    <w:p>
      <w:pPr>
        <w:pStyle w:val="ListBullet"/>
      </w:pPr>
      <w:r>
        <w:rPr>
          <w:rFonts w:ascii="Sylfaen" w:hAnsi="Sylfaen"/>
          <w:sz w:val="22"/>
        </w:rPr>
        <w:t>ფარული სამუშაოს АОК-ები (გაცემული? თარიღი? ხელმოწერები?)</w:t>
      </w:r>
    </w:p>
    <w:p>
      <w:pPr>
        <w:pStyle w:val="ListBullet"/>
      </w:pPr>
      <w:r>
        <w:rPr>
          <w:rFonts w:ascii="Sylfaen" w:hAnsi="Sylfaen"/>
          <w:sz w:val="22"/>
        </w:rPr>
        <w:t>ხარისხის ტესტები — შედეგი</w:t>
      </w:r>
    </w:p>
    <w:p>
      <w:pPr>
        <w:pStyle w:val="ListBullet"/>
      </w:pPr>
      <w:r>
        <w:rPr>
          <w:rFonts w:ascii="Sylfaen" w:hAnsi="Sylfaen"/>
          <w:sz w:val="22"/>
        </w:rPr>
        <w:t>გასწორებული წინა შენიშვნები</w:t>
      </w:r>
    </w:p>
    <w:p>
      <w:pPr>
        <w:pStyle w:val="ListBullet"/>
      </w:pPr>
      <w:r>
        <w:rPr>
          <w:rFonts w:ascii="Sylfaen" w:hAnsi="Sylfaen"/>
          <w:sz w:val="22"/>
        </w:rPr>
        <w:t xml:space="preserve">ფოტო № (ფიქსაცია BE-FM-PHOTO-LOG-ში)</w:t>
      </w:r>
    </w:p>
    <w:p>
      <w:pPr>
        <w:pStyle w:val="ListBullet"/>
      </w:pPr>
      <w:r>
        <w:rPr>
          <w:rFonts w:ascii="Sylfaen" w:hAnsi="Sylfaen"/>
          <w:sz w:val="22"/>
        </w:rPr>
        <w:t>კონტრაქტორის წარმომადგენლის ხელმოწერა</w:t>
      </w:r>
    </w:p>
    <w:p>
      <w:pPr>
        <w:pStyle w:val="Heading2"/>
      </w:pPr>
      <w:r>
        <w:rPr>
          <w:rFonts w:ascii="Sylfaen" w:hAnsi="Sylfaen"/>
          <w:color w:val="2E74B5"/>
          <w:sz w:val="26"/>
        </w:rPr>
        <w:t>ეტაპი 5 — შენიშვნების მიდევნება</w:t>
      </w:r>
    </w:p>
    <w:p>
      <w:pPr>
        <w:pStyle w:val="ListNumber"/>
      </w:pPr>
      <w:r>
        <w:rPr>
          <w:rFonts w:ascii="Sylfaen" w:hAnsi="Sylfaen"/>
          <w:sz w:val="22"/>
        </w:rPr>
        <w:t xml:space="preserve">შექმენი ცენტრალური ცხრილი (BE-FM-FINDINGS-LOG):</w:t>
      </w:r>
    </w:p>
    <w:tbl>
      <w:tblPr>
        <w:tblStyle w:val="TableGrid"/>
        <w:tblW w:type="auto" w:w="0"/>
        <w:tblLook w:firstColumn="1" w:firstRow="1" w:lastColumn="0" w:lastRow="0" w:noHBand="0" w:noVBand="1" w:val="04A0"/>
      </w:tblPr>
      <w:tblGrid>
        <w:gridCol w:w="4320"/>
        <w:gridCol w:w="4320"/>
      </w:tblGrid>
      <w:tr>
        <w:tc>
          <w:tcPr>
            <w:tcW w:type="dxa" w:w="4320"/>
          </w:tcPr>
          <w:p>
            <w:r>
              <w:rPr>
                <w:rFonts w:ascii="Sylfaen" w:hAnsi="Sylfaen"/>
                <w:b/>
                <w:sz w:val="20"/>
              </w:rPr>
              <w:t>სვეტი</w:t>
            </w:r>
          </w:p>
        </w:tc>
        <w:tc>
          <w:tcPr>
            <w:tcW w:type="dxa" w:w="4320"/>
          </w:tcPr>
          <w:p>
            <w:r>
              <w:rPr>
                <w:rFonts w:ascii="Sylfaen" w:hAnsi="Sylfaen"/>
                <w:b/>
                <w:sz w:val="20"/>
              </w:rPr>
              <w:t>შინაარსი</w:t>
            </w:r>
          </w:p>
        </w:tc>
      </w:tr>
      <w:tr>
        <w:tc>
          <w:tcPr>
            <w:tcW w:type="dxa" w:w="4320"/>
          </w:tcPr>
          <w:p>
            <w:r>
              <w:rPr>
                <w:rFonts w:ascii="Sylfaen" w:hAnsi="Sylfaen"/>
                <w:sz w:val="20"/>
              </w:rPr>
              <w:t>A</w:t>
            </w:r>
          </w:p>
        </w:tc>
        <w:tc>
          <w:tcPr>
            <w:tcW w:type="dxa" w:w="4320"/>
          </w:tcPr>
          <w:p>
            <w:r>
              <w:rPr>
                <w:rFonts w:ascii="Sylfaen" w:hAnsi="Sylfaen"/>
                <w:sz w:val="20"/>
              </w:rPr>
              <w:t>მიგნების №</w:t>
            </w:r>
          </w:p>
        </w:tc>
      </w:tr>
      <w:tr>
        <w:tc>
          <w:tcPr>
            <w:tcW w:type="dxa" w:w="4320"/>
          </w:tcPr>
          <w:p>
            <w:r>
              <w:rPr>
                <w:rFonts w:ascii="Sylfaen" w:hAnsi="Sylfaen"/>
                <w:sz w:val="20"/>
              </w:rPr>
              <w:t>B</w:t>
            </w:r>
          </w:p>
        </w:tc>
        <w:tc>
          <w:tcPr>
            <w:tcW w:type="dxa" w:w="4320"/>
          </w:tcPr>
          <w:p>
            <w:r>
              <w:rPr>
                <w:rFonts w:ascii="Sylfaen" w:hAnsi="Sylfaen"/>
                <w:sz w:val="20"/>
              </w:rPr>
              <w:t>თარიღი (გაცემის)</w:t>
            </w:r>
          </w:p>
        </w:tc>
      </w:tr>
      <w:tr>
        <w:tc>
          <w:tcPr>
            <w:tcW w:type="dxa" w:w="4320"/>
          </w:tcPr>
          <w:p>
            <w:r>
              <w:rPr>
                <w:rFonts w:ascii="Sylfaen" w:hAnsi="Sylfaen"/>
                <w:sz w:val="20"/>
              </w:rPr>
              <w:t>C</w:t>
            </w:r>
          </w:p>
        </w:tc>
        <w:tc>
          <w:tcPr>
            <w:tcW w:type="dxa" w:w="4320"/>
          </w:tcPr>
          <w:p>
            <w:r>
              <w:rPr>
                <w:rFonts w:ascii="Sylfaen" w:hAnsi="Sylfaen"/>
                <w:sz w:val="20"/>
              </w:rPr>
              <w:t>კატეგორია (MAJ/MIN/OBS)</w:t>
            </w:r>
          </w:p>
        </w:tc>
      </w:tr>
      <w:tr>
        <w:tc>
          <w:tcPr>
            <w:tcW w:type="dxa" w:w="4320"/>
          </w:tcPr>
          <w:p>
            <w:r>
              <w:rPr>
                <w:rFonts w:ascii="Sylfaen" w:hAnsi="Sylfaen"/>
                <w:sz w:val="20"/>
              </w:rPr>
              <w:t>D</w:t>
            </w:r>
          </w:p>
        </w:tc>
        <w:tc>
          <w:tcPr>
            <w:tcW w:type="dxa" w:w="4320"/>
          </w:tcPr>
          <w:p>
            <w:r>
              <w:rPr>
                <w:rFonts w:ascii="Sylfaen" w:hAnsi="Sylfaen"/>
                <w:sz w:val="20"/>
              </w:rPr>
              <w:t>აღწერა</w:t>
            </w:r>
          </w:p>
        </w:tc>
      </w:tr>
      <w:tr>
        <w:tc>
          <w:tcPr>
            <w:tcW w:type="dxa" w:w="4320"/>
          </w:tcPr>
          <w:p>
            <w:r>
              <w:rPr>
                <w:rFonts w:ascii="Sylfaen" w:hAnsi="Sylfaen"/>
                <w:sz w:val="20"/>
              </w:rPr>
              <w:t>E</w:t>
            </w:r>
          </w:p>
        </w:tc>
        <w:tc>
          <w:tcPr>
            <w:tcW w:type="dxa" w:w="4320"/>
          </w:tcPr>
          <w:p>
            <w:r>
              <w:rPr>
                <w:rFonts w:ascii="Sylfaen" w:hAnsi="Sylfaen"/>
                <w:sz w:val="20"/>
              </w:rPr>
              <w:t>სამშენებლო ნორმები და წესები (СНиП) რეფერენსი</w:t>
            </w:r>
          </w:p>
        </w:tc>
      </w:tr>
      <w:tr>
        <w:tc>
          <w:tcPr>
            <w:tcW w:type="dxa" w:w="4320"/>
          </w:tcPr>
          <w:p>
            <w:r>
              <w:rPr>
                <w:rFonts w:ascii="Sylfaen" w:hAnsi="Sylfaen"/>
                <w:sz w:val="20"/>
              </w:rPr>
              <w:t>F</w:t>
            </w:r>
          </w:p>
        </w:tc>
        <w:tc>
          <w:tcPr>
            <w:tcW w:type="dxa" w:w="4320"/>
          </w:tcPr>
          <w:p>
            <w:r>
              <w:rPr>
                <w:rFonts w:ascii="Sylfaen" w:hAnsi="Sylfaen"/>
                <w:sz w:val="20"/>
              </w:rPr>
              <w:t>გასაცემი ქმედება</w:t>
            </w:r>
          </w:p>
        </w:tc>
      </w:tr>
      <w:tr>
        <w:tc>
          <w:tcPr>
            <w:tcW w:type="dxa" w:w="4320"/>
          </w:tcPr>
          <w:p>
            <w:r>
              <w:rPr>
                <w:rFonts w:ascii="Sylfaen" w:hAnsi="Sylfaen"/>
                <w:sz w:val="20"/>
              </w:rPr>
              <w:t>G</w:t>
            </w:r>
          </w:p>
        </w:tc>
        <w:tc>
          <w:tcPr>
            <w:tcW w:type="dxa" w:w="4320"/>
          </w:tcPr>
          <w:p>
            <w:r>
              <w:rPr>
                <w:rFonts w:ascii="Sylfaen" w:hAnsi="Sylfaen"/>
                <w:sz w:val="20"/>
              </w:rPr>
              <w:t>შემსრულებელი (კონტრაქტორი)</w:t>
            </w:r>
          </w:p>
        </w:tc>
      </w:tr>
      <w:tr>
        <w:tc>
          <w:tcPr>
            <w:tcW w:type="dxa" w:w="4320"/>
          </w:tcPr>
          <w:p>
            <w:r>
              <w:rPr>
                <w:rFonts w:ascii="Sylfaen" w:hAnsi="Sylfaen"/>
                <w:sz w:val="20"/>
              </w:rPr>
              <w:t>H</w:t>
            </w:r>
          </w:p>
        </w:tc>
        <w:tc>
          <w:tcPr>
            <w:tcW w:type="dxa" w:w="4320"/>
          </w:tcPr>
          <w:p>
            <w:r>
              <w:rPr>
                <w:rFonts w:ascii="Sylfaen" w:hAnsi="Sylfaen"/>
                <w:sz w:val="20"/>
              </w:rPr>
              <w:t>ვადა</w:t>
            </w:r>
          </w:p>
        </w:tc>
      </w:tr>
      <w:tr>
        <w:tc>
          <w:tcPr>
            <w:tcW w:type="dxa" w:w="4320"/>
          </w:tcPr>
          <w:p>
            <w:r>
              <w:rPr>
                <w:rFonts w:ascii="Sylfaen" w:hAnsi="Sylfaen"/>
                <w:sz w:val="20"/>
              </w:rPr>
              <w:t>I</w:t>
            </w:r>
          </w:p>
        </w:tc>
        <w:tc>
          <w:tcPr>
            <w:tcW w:type="dxa" w:w="4320"/>
          </w:tcPr>
          <w:p>
            <w:r>
              <w:rPr>
                <w:rFonts w:ascii="Sylfaen" w:hAnsi="Sylfaen"/>
                <w:sz w:val="20"/>
              </w:rPr>
              <w:t>მდგომარეობა (გახსნილი / დახურული)</w:t>
            </w:r>
          </w:p>
        </w:tc>
      </w:tr>
      <w:tr>
        <w:tc>
          <w:tcPr>
            <w:tcW w:type="dxa" w:w="4320"/>
          </w:tcPr>
          <w:p>
            <w:r>
              <w:rPr>
                <w:rFonts w:ascii="Sylfaen" w:hAnsi="Sylfaen"/>
                <w:sz w:val="20"/>
              </w:rPr>
              <w:t>J</w:t>
            </w:r>
          </w:p>
        </w:tc>
        <w:tc>
          <w:tcPr>
            <w:tcW w:type="dxa" w:w="4320"/>
          </w:tcPr>
          <w:p>
            <w:r>
              <w:rPr>
                <w:rFonts w:ascii="Sylfaen" w:hAnsi="Sylfaen"/>
                <w:sz w:val="20"/>
              </w:rPr>
              <w:t>დახურვის თარიღი</w:t>
            </w:r>
          </w:p>
        </w:tc>
      </w:tr>
      <w:tr>
        <w:tc>
          <w:tcPr>
            <w:tcW w:type="dxa" w:w="4320"/>
          </w:tcPr>
          <w:p>
            <w:r>
              <w:rPr>
                <w:rFonts w:ascii="Sylfaen" w:hAnsi="Sylfaen"/>
                <w:sz w:val="20"/>
              </w:rPr>
              <w:t>K</w:t>
            </w:r>
          </w:p>
        </w:tc>
        <w:tc>
          <w:tcPr>
            <w:tcW w:type="dxa" w:w="4320"/>
          </w:tcPr>
          <w:p>
            <w:r>
              <w:rPr>
                <w:rFonts w:ascii="Sylfaen" w:hAnsi="Sylfaen"/>
                <w:sz w:val="20"/>
              </w:rPr>
              <w:t>მტკიცებულება (ფოტო №, ანგარიში)</w:t>
            </w:r>
          </w:p>
        </w:tc>
      </w:tr>
      <w:tr>
        <w:tc>
          <w:tcPr>
            <w:tcW w:type="dxa" w:w="4320"/>
          </w:tcPr>
          <w:p>
            <w:r>
              <w:rPr>
                <w:rFonts w:ascii="Sylfaen" w:hAnsi="Sylfaen"/>
                <w:sz w:val="20"/>
              </w:rPr>
              <w:t>L</w:t>
            </w:r>
          </w:p>
        </w:tc>
        <w:tc>
          <w:tcPr>
            <w:tcW w:type="dxa" w:w="4320"/>
          </w:tcPr>
          <w:p>
            <w:r>
              <w:rPr>
                <w:rFonts w:ascii="Sylfaen" w:hAnsi="Sylfaen"/>
                <w:sz w:val="20"/>
              </w:rPr>
              <w:t>განმეორების ნიშანი (კი/არა)</w:t>
            </w:r>
          </w:p>
        </w:tc>
      </w:tr>
    </w:tbl>
    <w:p>
      <w:pPr>
        <w:pStyle w:val="ListNumber"/>
      </w:pPr>
      <w:r>
        <w:rPr>
          <w:rFonts w:ascii="Sylfaen" w:hAnsi="Sylfaen"/>
          <w:sz w:val="22"/>
        </w:rPr>
        <w:t>თუ იგივე შენიშვნა განმეორდა — სისტემური სისუსტის ნიშანი.</w:t>
      </w:r>
    </w:p>
    <w:p>
      <w:pPr>
        <w:pStyle w:val="ListNumber"/>
      </w:pPr>
      <w:r>
        <w:rPr>
          <w:rFonts w:ascii="Sylfaen" w:hAnsi="Sylfaen"/>
          <w:sz w:val="22"/>
        </w:rPr>
        <w:t>MAJ-ის გაცემიდან დახურვამდე ვადა &gt; 14 დღე — რისკის გაზრდა.</w:t>
      </w:r>
    </w:p>
    <w:p>
      <w:r>
        <w:br w:type="page"/>
      </w:r>
    </w:p>
    <w:p>
      <w:pPr>
        <w:pStyle w:val="Heading1"/>
      </w:pPr>
      <w:r>
        <w:rPr>
          <w:rFonts w:ascii="Sylfaen" w:hAnsi="Sylfaen"/>
          <w:color w:val="1F4E79"/>
          <w:sz w:val="32"/>
        </w:rPr>
        <w:t>6. ხარისხის ტესტების მაგალითები</w:t>
      </w:r>
    </w:p>
    <w:p>
      <w:pPr>
        <w:pStyle w:val="Heading2"/>
      </w:pPr>
      <w:r>
        <w:rPr>
          <w:rFonts w:ascii="Sylfaen" w:hAnsi="Sylfaen"/>
          <w:color w:val="2E74B5"/>
          <w:sz w:val="26"/>
        </w:rPr>
        <w:t>6.1 ბეტონის სიმტკიცე</w:t>
      </w:r>
    </w:p>
    <w:p>
      <w:pPr>
        <w:pStyle w:val="ListBullet"/>
      </w:pPr>
      <w:r>
        <w:rPr>
          <w:rFonts w:ascii="Sylfaen" w:hAnsi="Sylfaen"/>
          <w:sz w:val="22"/>
        </w:rPr>
        <w:t xml:space="preserve">ცილინდრის სკლერომეტრით — გადადით საფეხურებზე ეტაპობრივად</w:t>
      </w:r>
    </w:p>
    <w:p>
      <w:pPr>
        <w:pStyle w:val="ListBullet"/>
      </w:pPr>
      <w:r>
        <w:rPr>
          <w:rFonts w:ascii="Sylfaen" w:hAnsi="Sylfaen"/>
          <w:sz w:val="22"/>
        </w:rPr>
        <w:t xml:space="preserve">მინიმუმ 5 გამოცდა ერთ ცარზე / ფილაზე</w:t>
      </w:r>
    </w:p>
    <w:p>
      <w:pPr>
        <w:pStyle w:val="ListBullet"/>
      </w:pPr>
      <w:r>
        <w:rPr>
          <w:rFonts w:ascii="Sylfaen" w:hAnsi="Sylfaen"/>
          <w:sz w:val="22"/>
        </w:rPr>
        <w:t>შედეგი — საშუალო MPa, ცდომილება</w:t>
      </w:r>
    </w:p>
    <w:p>
      <w:pPr>
        <w:pStyle w:val="ListBullet"/>
      </w:pPr>
      <w:r>
        <w:rPr>
          <w:rFonts w:ascii="Sylfaen" w:hAnsi="Sylfaen"/>
          <w:sz w:val="22"/>
        </w:rPr>
        <w:t>ნორმა (სამშენებლო ნორმები და წესები (СНиП) 2.03.01-84): საშუალო ≥ პროექტის მარკა, ერთი მინიმუმი ≥ 0.85 × მარკა</w:t>
      </w:r>
    </w:p>
    <w:p>
      <w:pPr>
        <w:pStyle w:val="Heading2"/>
      </w:pPr>
      <w:r>
        <w:rPr>
          <w:rFonts w:ascii="Sylfaen" w:hAnsi="Sylfaen"/>
          <w:color w:val="2E74B5"/>
          <w:sz w:val="26"/>
        </w:rPr>
        <w:t>6.2 ვერტიკალის და ჰორიზონტალის სიზუსტე</w:t>
      </w:r>
    </w:p>
    <w:p>
      <w:pPr>
        <w:pStyle w:val="ListBullet"/>
      </w:pPr>
      <w:r>
        <w:rPr>
          <w:rFonts w:ascii="Sylfaen" w:hAnsi="Sylfaen"/>
          <w:sz w:val="22"/>
        </w:rPr>
        <w:t>სპირტული დონის გამოყენება + ლაზერული წითელი ხაზი</w:t>
      </w:r>
    </w:p>
    <w:p>
      <w:pPr>
        <w:pStyle w:val="ListBullet"/>
      </w:pPr>
      <w:r>
        <w:rPr>
          <w:rFonts w:ascii="Sylfaen" w:hAnsi="Sylfaen"/>
          <w:sz w:val="22"/>
        </w:rPr>
        <w:t>ვერტიკალი — ცდომილება ±5 მმ 3 მ-ზე (სამშენებლო ნორმები და წესები (СНиП) 3.03.01-87)</w:t>
      </w:r>
    </w:p>
    <w:p>
      <w:pPr>
        <w:pStyle w:val="ListBullet"/>
      </w:pPr>
      <w:r>
        <w:rPr>
          <w:rFonts w:ascii="Sylfaen" w:hAnsi="Sylfaen"/>
          <w:sz w:val="22"/>
        </w:rPr>
        <w:t>ჰორიზონტალი — ±10 მმ 6 მ-ზე</w:t>
      </w:r>
    </w:p>
    <w:p>
      <w:pPr>
        <w:pStyle w:val="Heading2"/>
      </w:pPr>
      <w:r>
        <w:rPr>
          <w:rFonts w:ascii="Sylfaen" w:hAnsi="Sylfaen"/>
          <w:color w:val="2E74B5"/>
          <w:sz w:val="26"/>
        </w:rPr>
        <w:t>6.3 გეომეტრიის სიზუსტე</w:t>
      </w:r>
    </w:p>
    <w:p>
      <w:pPr>
        <w:pStyle w:val="ListBullet"/>
      </w:pPr>
      <w:r>
        <w:rPr>
          <w:rFonts w:ascii="Sylfaen" w:hAnsi="Sylfaen"/>
          <w:sz w:val="22"/>
        </w:rPr>
        <w:t>ლაზერული მანძილმზომი — ფართობი, კუთხეები</w:t>
      </w:r>
    </w:p>
    <w:p>
      <w:pPr>
        <w:pStyle w:val="ListBullet"/>
      </w:pPr>
      <w:r>
        <w:rPr>
          <w:rFonts w:ascii="Sylfaen" w:hAnsi="Sylfaen"/>
          <w:sz w:val="22"/>
        </w:rPr>
        <w:t>ცდომილება (სამშენებლო ნორმები და წესები (СНиП) 3.03.01-87): ±2 სმ ზოგადი ფართობი, ±5 მმ ცემენტური ბათქაში</w:t>
      </w:r>
    </w:p>
    <w:p>
      <w:r>
        <w:br w:type="page"/>
      </w:r>
    </w:p>
    <w:p>
      <w:pPr>
        <w:pStyle w:val="Heading1"/>
      </w:pPr>
      <w:r>
        <w:rPr>
          <w:rFonts w:ascii="Sylfaen" w:hAnsi="Sylfaen"/>
          <w:color w:val="1F4E79"/>
          <w:sz w:val="32"/>
        </w:rPr>
        <w:t>7. სისტემური სისუსტეების ნიშნები (Findings Pattern)</w:t>
      </w:r>
    </w:p>
    <w:p>
      <w:r>
        <w:rPr>
          <w:rFonts w:ascii="Sylfaen" w:hAnsi="Sylfaen"/>
          <w:b w:val="0"/>
          <w:i w:val="0"/>
          <w:sz w:val="22"/>
        </w:rPr>
        <w:t>ეტაპებს შორის კავშირი — სისტემური ანალიზი:</w:t>
      </w:r>
    </w:p>
    <w:p>
      <w:pPr>
        <w:pStyle w:val="ListBullet"/>
      </w:pPr>
      <w:r>
        <w:rPr>
          <w:rFonts w:ascii="Sylfaen" w:hAnsi="Sylfaen"/>
          <w:sz w:val="22"/>
        </w:rPr>
        <w:t>ერთი და იგივე MAJ შენიშვნა განმეორდა &gt; 2 ჯერ — კონტრაქტორის სისტემური სისუსტე</w:t>
      </w:r>
    </w:p>
    <w:p>
      <w:pPr>
        <w:pStyle w:val="ListBullet"/>
      </w:pPr>
      <w:r>
        <w:rPr>
          <w:rFonts w:ascii="Sylfaen" w:hAnsi="Sylfaen"/>
          <w:sz w:val="22"/>
        </w:rPr>
        <w:t>ერთი ქვეკონტრაქტორი — ხშირი MAJ — გასაცილოა</w:t>
      </w:r>
    </w:p>
    <w:p>
      <w:pPr>
        <w:pStyle w:val="ListBullet"/>
      </w:pPr>
      <w:r>
        <w:rPr>
          <w:rFonts w:ascii="Sylfaen" w:hAnsi="Sylfaen"/>
          <w:sz w:val="22"/>
        </w:rPr>
        <w:t>ერთი მასალის მომწოდებელი — ხშირი ხარვეზი — შეცვლა</w:t>
      </w:r>
    </w:p>
    <w:p>
      <w:pPr>
        <w:pStyle w:val="ListBullet"/>
      </w:pPr>
      <w:r>
        <w:rPr>
          <w:rFonts w:ascii="Sylfaen" w:hAnsi="Sylfaen"/>
          <w:sz w:val="22"/>
        </w:rPr>
        <w:t>ფარული სამუშაოების АОК-ის ხშირი დაგვიანება — ხელმძღვანელობის სისუსტე</w:t>
      </w:r>
    </w:p>
    <w:p>
      <w:pPr>
        <w:pStyle w:val="Heading1"/>
      </w:pPr>
      <w:r>
        <w:rPr>
          <w:rFonts w:ascii="Sylfaen" w:hAnsi="Sylfaen"/>
          <w:color w:val="1F4E79"/>
          <w:sz w:val="32"/>
        </w:rPr>
        <w:t>8. დასკვნის ფორმულირება</w:t>
      </w:r>
    </w:p>
    <w:p>
      <w:r>
        <w:rPr>
          <w:rFonts w:ascii="Sylfaen" w:hAnsi="Sylfaen"/>
          <w:b/>
          <w:i w:val="0"/>
          <w:sz w:val="22"/>
        </w:rPr>
        <w:t>ანგარიშები — ყოველი 3 თვის შემდეგ + საბოლოო ანგარიში მშენებლობის დასრულებისას.</w:t>
      </w:r>
    </w:p>
    <w:p>
      <w:pPr>
        <w:pStyle w:val="ListBullet"/>
      </w:pPr>
      <w:r>
        <w:rPr>
          <w:rFonts w:ascii="Sylfaen" w:hAnsi="Sylfaen"/>
          <w:sz w:val="22"/>
        </w:rPr>
        <w:t>შუალედური ანგარიში: ეტაპი, შენიშვნები (გახსნილი + დახურული), ხარისხის ტრენდი</w:t>
      </w:r>
    </w:p>
    <w:p>
      <w:pPr>
        <w:pStyle w:val="ListBullet"/>
      </w:pPr>
      <w:r>
        <w:rPr>
          <w:rFonts w:ascii="Sylfaen" w:hAnsi="Sylfaen"/>
          <w:sz w:val="22"/>
        </w:rPr>
        <w:t>საბოლოო ანგარიში: სრული შესრულების შესაბამისობა პროექტთან, სამშენებლო ნორმები და წესები (СНиП)-თან, ხელშეკრულებასთან</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ylfaen" w:hAnsi="Sylfaen"/>
        <w:sz w:val="18"/>
      </w:rPr>
      <w:t xml:space="preserve">შპს „ბილდექს ექსპერტიზა” | BE-WI-04 | ვერსია 2.0 | </w:t>
    </w:r>
    <w:r>
      <w:rPr>
        <w:rFonts w:ascii="Sylfaen" w:hAnsi="Sylfaen"/>
        <w:sz w:val="18"/>
      </w:rPr>
      <w:fldChar w:fldCharType="begin"/>
      <w:instrText>PAGE</w:instrText>
      <w:fldChar w:fldCharType="end"/>
    </w:r>
  </w:p>
</w:ftr>
</file>

<file path=word/header1.xml><?xml version="1.0" encoding="utf-8"?>
<w:hdr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mc:Ignorable="w14 wp14">
  <w:p>
    <w:pPr>
      <w:pStyle w:val="Header"/>
      <w:jc w:val="center"/>
    </w:pPr>
    <w:r>
      <w:rPr>
        <w:noProof/>
      </w:rPr>
      <w:drawing>
        <wp:anchor distT="0" distB="0" distL="0" distR="0" simplePos="0" relativeHeight="1" behindDoc="1" locked="1" layoutInCell="0" allowOverlap="0" wp14:anchorId="BE000001" wp14:editId="BE000001">
          <wp:simplePos x="0" y="0"/>
          <wp:positionH relativeFrom="page">
            <wp:posOffset>0</wp:posOffset>
          </wp:positionH>
          <wp:positionV relativeFrom="page">
            <wp:posOffset>0</wp:posOffset>
          </wp:positionV>
          <wp:extent cx="7560000" cy="10692000"/>
          <wp:effectExtent l="0" t="0" r="0" b="0"/>
          <wp:wrapNone/>
          <wp:docPr id="99001" name="be_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_background"/>
                  <pic:cNvPicPr>
                    <a:picLocks noChangeAspect="1" noChangeArrowheads="1"/>
                  </pic:cNvPicPr>
                </pic:nvPicPr>
                <pic:blipFill>
                  <a:blip r:embed="rId_bg"/>
                  <a:stretch>
                    <a:fillRect/>
                  </a:stretch>
                </pic:blipFill>
                <pic:spPr bwMode="auto">
                  <a:xfrm>
                    <a:off x="0" y="0"/>
                    <a:ext cx="7560000" cy="10692000"/>
                  </a:xfrm>
                  <a:prstGeom prst="rect">
                    <a:avLst/>
                  </a:prstGeom>
                  <a:noFill/>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ylfaen" w:hAnsi="Sylfaen" w:cs="Sylfaen" w:eastAsia="Sylfae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CoverLogo" Type="http://schemas.openxmlformats.org/officeDocument/2006/relationships/image" Target="media/cover_logo.png"/></Relationships>
</file>

<file path=word/_rels/header1.xml.rels><?xml version='1.0' encoding='UTF-8' standalone='yes'?>
<Relationships xmlns="http://schemas.openxmlformats.org/package/2006/relationships"><Relationship Id="rId_bg" Type="http://schemas.openxmlformats.org/officeDocument/2006/relationships/image" Target="media/be_backgroun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