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შპს „ბილდექს ექსპერტიზა"</w:t>
      </w:r>
    </w:p>
    <w:p>
      <w:pPr>
        <w:pStyle w:val="Heading2"/>
      </w:pPr>
      <w:r>
        <w:rPr>
          <w:b/>
          <w:sz w:val="26"/>
          <w:szCs w:val="26"/>
        </w:rPr>
        <w:t xml:space="preserve">ცვლილებების ჟურნალი</w:t>
      </w:r>
    </w:p>
    <w:p>
      <w:pPr/>
      <w:r>
        <w:rPr/>
        <w:t xml:space="preserve">წინამდებარე მეორე რედაქცია (ვერსია 2.0) ასახავს დამტკიცებული რევიზიის შედეგებს და სრულ შესაბამისობას ამყარებს ხარისხის სახელმძღვანელოს (QM-01, ვერსია 2.0) ხერხემალთან.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0"/>
        <w:gridCol w:w="3200"/>
        <w:gridCol w:w="3200"/>
        <w:gridCol w:w="2400"/>
      </w:tblGrid>
      <w:tr>
        <w:tc>
          <w:tcPr>
            <w:tcW w:w="5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 შეიცვალა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რატომ (ხარვეზის აღწერა)</w:t>
            </w:r>
          </w:p>
        </w:tc>
        <w:tc>
          <w:tcPr>
            <w:tcW w:w="24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 (ISO 17020 / საკ / კანონი / QM-01)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1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კოდირება FM-01..24 → BE-FM-* სრულ სიაზე გადასვლა; რეესტრში ყველა არსებული ფორმა (60 ერთეული) აისახა სწორი BE-FM-* კოდით.</w:t>
            </w:r>
          </w:p>
        </w:tc>
        <w:tc>
          <w:tcPr>
            <w:tcW w:w="3200" w:type="dxa"/>
          </w:tcPr>
          <w:p>
            <w:pPr/>
            <w:r>
              <w:rPr/>
              <w:t xml:space="preserve">QM-01 (ძვ. რედ. გვ. 47) ფორმებს მიუთითებდა როგორც „FM-01..24", ხოლო E ფოლდერის რეალური ფაილები BE-FM-* აღნიშვნით იყო — კოდები არ ემთხვეოდა.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§8.2.4, §8.3; QM-01 ვ.2.0 §9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2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ახალი ფორმა BE-FM-IMP-COMMITTEE (მიუკერძოებლობის დაცვის კომიტეტის შემადგენლობა და სხდომის ოქმი).</w:t>
            </w:r>
          </w:p>
        </w:tc>
        <w:tc>
          <w:tcPr>
            <w:tcW w:w="3200" w:type="dxa"/>
          </w:tcPr>
          <w:p>
            <w:pPr/>
            <w:r>
              <w:rPr/>
              <w:t xml:space="preserve">ORD-05 მიუთითებდა FM-IMP-COMMITTEE-ზე, თუმცა ასეთი ფორმა E ფოლდერში არ არსებობდა — ბმა „ობოლი"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§4.1, §4.1.3–§4.1.4 (მიუკერძოებლობა და რისკების მართვა); ISO/IEC 17020 §8.3; ORD-05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3</w:t>
            </w:r>
          </w:p>
        </w:tc>
        <w:tc>
          <w:tcPr>
            <w:tcW w:w="3200" w:type="dxa"/>
          </w:tcPr>
          <w:p>
            <w:pPr/>
            <w:r>
              <w:rPr/>
              <w:t xml:space="preserve">BE-FM-PHOTO-LOG შაბლონს დაემატა გადაღების თარიღისა და ზუსტი დროის (timestamp) სავალდებულო სვეტები და, ტექნიკური შესაძლებლობისას, გეოლოკაციის სვეტი.</w:t>
            </w:r>
          </w:p>
        </w:tc>
        <w:tc>
          <w:tcPr>
            <w:tcW w:w="3200" w:type="dxa"/>
          </w:tcPr>
          <w:p>
            <w:pPr/>
            <w:r>
              <w:rPr/>
              <w:t xml:space="preserve">QM-01 ვ.2.0 §10.4.1 ფოტო/ვიდეოფიქსაციას აცხადებს სავალდებულოდ თარიღისა და დროის აღნიშვნით; ძველ ფორმაში დროის სვეტი არ იყო გამოკვეთილი.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ვ.2.0 §10.4.1; ISO/IEC 17020 §7.3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4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BE-FM-IR-ის სავალდებულო ველების ავტორიტეტული სპეციფიკაცია (ISO §7.4.2 (ა)-(ზ)).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§7.4.2 (ა)-(ზ) სავალდებულო ველები ინსპექტირების ანგარიშის ფორმაში ცალსახად დოკუმენტირებული არ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§7.4.2; QM-01 ვ.2.0 §10.3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5</w:t>
            </w:r>
          </w:p>
        </w:tc>
        <w:tc>
          <w:tcPr>
            <w:tcW w:w="3200" w:type="dxa"/>
          </w:tcPr>
          <w:p>
            <w:pPr/>
            <w:r>
              <w:rPr/>
              <w:t xml:space="preserve">დაემატა BE-FM-IMP-DECL-ის სავალდებულო ველების ავტორიტეტული სპეციფიკაცია (ISO §6.1.12 / დანართი A).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§6.1.12 (ყველა თანამშრომელი — შიდა და მოწვეული — უნდა მოქმედებდეს მიუკერძოებლად; დანიშვნის ასპექტი — §6.1.1/§6.1.10) მოთხოვნადი ველები ფორმაში ცალსახად ფიქსირებული არ იყო.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§6.1.12, დანართი A.1; QM-01 ვ.2.0 §4</w:t>
            </w:r>
          </w:p>
        </w:tc>
      </w:tr>
      <w:tr>
        <w:tc>
          <w:tcPr>
            <w:tcW w:w="500" w:type="dxa"/>
          </w:tcPr>
          <w:p>
            <w:pPr/>
            <w:r>
              <w:rPr/>
              <w:t xml:space="preserve">6</w:t>
            </w:r>
          </w:p>
        </w:tc>
        <w:tc>
          <w:tcPr>
            <w:tcW w:w="3200" w:type="dxa"/>
          </w:tcPr>
          <w:p>
            <w:pPr/>
            <w:r>
              <w:rPr/>
              <w:t xml:space="preserve">ვერსია 1.0 → 2.0; გამოცემის თარიღი → 04.06.2026.</w:t>
            </w:r>
          </w:p>
        </w:tc>
        <w:tc>
          <w:tcPr>
            <w:tcW w:w="3200" w:type="dxa"/>
          </w:tcPr>
          <w:p>
            <w:pPr/>
            <w:r>
              <w:rPr/>
              <w:t xml:space="preserve">მთელი დოკუმენტური ნაკრები გადადის ერთიან ვერსია 2.0 / 2026-06-04 რედაქციაზე, რაც აღმოფხვრის ვერსიებისა და თარიღების შეუსაბამობას.</w:t>
            </w:r>
          </w:p>
        </w:tc>
        <w:tc>
          <w:tcPr>
            <w:tcW w:w="2400" w:type="dxa"/>
          </w:tcPr>
          <w:p>
            <w:pPr/>
            <w:r>
              <w:rPr/>
              <w:t xml:space="preserve">QM-01 ვ.2.0; REVISION_SPEC §1</w:t>
            </w:r>
          </w:p>
        </w:tc>
      </w:tr>
      <w:tr>
        <w:tc>
          <w:tcPr>
            <w:tcW w:w="450" w:type="dxa"/>
          </w:tcPr>
          <w:p>
            <w:pPr/>
            <w:r>
              <w:rPr/>
              <w:t xml:space="preserve">7</w:t>
            </w:r>
          </w:p>
        </w:tc>
        <w:tc>
          <w:tcPr>
            <w:tcW w:w="3200" w:type="dxa"/>
          </w:tcPr>
          <w:p>
            <w:pPr/>
            <w:r>
              <w:rPr/>
              <w:t xml:space="preserve">კირილური ჰომოგლიფების (ქართულ სიტყვებში შემოპარული კირილური ასოების) გასწორება მთელ რეესტრში — სიტყვა „მიუკერძოებლობა“ და მისი ფორმები ჩაიწერა სუფთა ქართული უნიკოდით; ISO ბმების გასწორება: კომიტეტი §4.1.5 → §4.1/§4.1.3–§4.1.4; §6.1.12-ის განმარტება დაზუსტდა.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ავტომატური აკრეფისას შემოპარული კირილური ასოები; §4.1.5/§6.1.12-ის თემატურად მცდარი გამოყენება.</w:t>
            </w:r>
          </w:p>
        </w:tc>
        <w:tc>
          <w:tcPr>
            <w:tcW w:w="2400" w:type="dxa"/>
          </w:tcPr>
          <w:p>
            <w:pPr/>
            <w:r>
              <w:rPr/>
              <w:t xml:space="preserve">ISO/IEC 17020 §4.1, §6.1.12; ერთიანი ქართული უნიკოდი</w:t>
            </w:r>
          </w:p>
        </w:tc>
      </w:tr>
    </w:tbl>
    <w:p>
      <w:pPr/>
    </w:p>
    <w:p>
      <w:pPr>
        <w:jc w:val="center"/>
      </w:pPr>
      <w:r>
        <w:rPr>
          <w:b/>
          <w:sz w:val="28"/>
          <w:szCs w:val="28"/>
        </w:rPr>
        <w:t xml:space="preserve">ფორმებისა და შაბლონების რეესტრი (BE-FM-*)</w:t>
      </w:r>
    </w:p>
    <w:p>
      <w:pPr>
        <w:jc w:val="center"/>
      </w:pPr>
      <w:r>
        <w:rPr/>
        <w:t xml:space="preserve">სსტ ISO/IEC 17020:2012/2013 — A ტიპის ინსპექტირების ორგანო  ·  GAC/SAAC</w:t>
      </w:r>
    </w:p>
    <w:p>
      <w:pPr>
        <w:jc w:val="center"/>
      </w:pPr>
      <w:r>
        <w:rPr/>
        <w:t xml:space="preserve">კოდი: BE-FM-რეესტრი  ·  ვერსია: 2.0 / მეორე რედაქცია  ·  გამოცემის თარიღი: 04.06.2026</w:t>
      </w:r>
    </w:p>
    <w:p>
      <w:pPr/>
    </w:p>
    <w:p>
      <w:pPr>
        <w:pStyle w:val="Heading1"/>
      </w:pPr>
      <w:r>
        <w:rPr>
          <w:b/>
          <w:sz w:val="28"/>
          <w:szCs w:val="28"/>
        </w:rPr>
        <w:t xml:space="preserve">1. დანიშნულება და მოქმედების სფერო</w:t>
      </w:r>
    </w:p>
    <w:p>
      <w:pPr/>
      <w:r>
        <w:rPr/>
        <w:t xml:space="preserve">წინამდებარე რეესტრი წარმოადგენს შპს „ბილდექს ექსპერტიზა"-ს კონტროლირებად ჩამონათვალს ყველა მოქმედი ფორმისა და შაბლონისა (BE-FM-*), რომლებიც გამოიყენება ინსპექტირების მთელ სამუშაო ნაკადში — განცხადების მიღებიდან საბოლოო ანგარიშის გაცემამდე, ასევე ხარისხის სისტემის მართვის, შიდა აუდიტისა და მონიტორინგის პროცესებში. რეესტრი უზრუნველყოფს ფორმების უნიკალური კოდირების, ვერსიონირებისა და დანიშნულების მიკვლევადობას (ISO/IEC 17020 §8.3).</w:t>
      </w:r>
    </w:p>
    <w:p>
      <w:pPr/>
      <w:r>
        <w:rPr/>
        <w:t xml:space="preserve">ყველა ფორმა აღნიშნულია BE-FM-* კოდით. ფორმა „FM-01..24" აღნიშვნა გაუქმებულია და აღარ გამოიყენება. ფორმები ხელმისაწვდომია PDF ფორმატში ფოლდერში „E — ფორმები და შაბლონები" და ელექტრონული შევსების სახით.</w:t>
      </w:r>
    </w:p>
    <w:p>
      <w:pPr>
        <w:pStyle w:val="Heading1"/>
      </w:pPr>
      <w:r>
        <w:rPr>
          <w:b/>
          <w:sz w:val="28"/>
          <w:szCs w:val="28"/>
        </w:rPr>
        <w:t xml:space="preserve">2. ფორმების სრული რეესტრი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0"/>
        <w:gridCol w:w="2100"/>
        <w:gridCol w:w="2600"/>
        <w:gridCol w:w="2200"/>
        <w:gridCol w:w="4000"/>
      </w:tblGrid>
      <w:tr>
        <w:tc>
          <w:tcPr>
            <w:tcW w:w="4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2100" w:type="dxa"/>
            <w:shd w:val="clear" w:color="auto" w:fill="D9E2F3"/>
          </w:tcPr>
          <w:p>
            <w:pPr/>
            <w:r>
              <w:rPr>
                <w:b/>
              </w:rPr>
              <w:t xml:space="preserve">კოდი (BE-FM-*)</w:t>
            </w:r>
          </w:p>
        </w:tc>
        <w:tc>
          <w:tcPr>
            <w:tcW w:w="2600" w:type="dxa"/>
            <w:shd w:val="clear" w:color="auto" w:fill="D9E2F3"/>
          </w:tcPr>
          <w:p>
            <w:pPr/>
            <w:r>
              <w:rPr>
                <w:b/>
              </w:rPr>
              <w:t xml:space="preserve">დასახელება (ქართულად)</w:t>
            </w:r>
          </w:p>
        </w:tc>
        <w:tc>
          <w:tcPr>
            <w:tcW w:w="2200" w:type="dxa"/>
            <w:shd w:val="clear" w:color="auto" w:fill="D9E2F3"/>
          </w:tcPr>
          <w:p>
            <w:pPr/>
            <w:r>
              <w:rPr>
                <w:b/>
              </w:rPr>
              <w:t xml:space="preserve">მხარდამჭერი პროცედურა / ISO §</w:t>
            </w:r>
          </w:p>
        </w:tc>
        <w:tc>
          <w:tcPr>
            <w:tcW w:w="4000" w:type="dxa"/>
            <w:shd w:val="clear" w:color="auto" w:fill="D9E2F3"/>
          </w:tcPr>
          <w:p>
            <w:pPr/>
            <w:r>
              <w:rPr>
                <w:b/>
              </w:rPr>
              <w:t xml:space="preserve">დანიშნულება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BE-FM-APP</w:t>
            </w:r>
          </w:p>
        </w:tc>
        <w:tc>
          <w:tcPr>
            <w:tcW w:w="2600" w:type="dxa"/>
          </w:tcPr>
          <w:p>
            <w:pPr/>
            <w:r>
              <w:rPr/>
              <w:t xml:space="preserve">განცხადების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დამკვეთის განცხადება ინსპექტირების მომსახურების მისაღებად.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BE-FM-REG</w:t>
            </w:r>
          </w:p>
        </w:tc>
        <w:tc>
          <w:tcPr>
            <w:tcW w:w="2600" w:type="dxa"/>
          </w:tcPr>
          <w:p>
            <w:pPr/>
            <w:r>
              <w:rPr/>
              <w:t xml:space="preserve">რეგისტრაციის ჟურნალი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მიღებული განცხადებების ცენტრალური სარეგისტრაციო ჟურნალი.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მიღების დადასტურება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განცხადების მიღების ოფიციალური დადასტურება საქმის ნომრით.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BE-FM-SCREEN</w:t>
            </w:r>
          </w:p>
        </w:tc>
        <w:tc>
          <w:tcPr>
            <w:tcW w:w="2600" w:type="dxa"/>
          </w:tcPr>
          <w:p>
            <w:pPr/>
            <w:r>
              <w:rPr/>
              <w:t xml:space="preserve">წინასწარი სკრინინგი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განცხადების წინასწარი შემოწმება — მოთხოვნის სიცხადე და სფერო.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BE-FM-IMP-DECL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მიუკერძოებლობის დეკლარაცია</w:t>
            </w:r>
          </w:p>
        </w:tc>
        <w:tc>
          <w:tcPr>
            <w:tcW w:w="2200" w:type="dxa"/>
          </w:tcPr>
          <w:p>
            <w:pPr/>
            <w:r>
              <w:rPr/>
              <w:t>BE-PR-06 / §4.1, §6.1.12</w:t>
            </w:r>
          </w:p>
        </w:tc>
        <w:tc>
          <w:tcPr>
            <w:tcW w:w="4000" w:type="dxa"/>
          </w:tcPr>
          <w:p>
            <w:pPr/>
            <w:r>
              <w:rPr/>
              <w:t xml:space="preserve">პერსონალის დეკლარაცია მიუკერძოებლობისა და კონფლიქტის არარსებობის შესახებ.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BE-FM-IMP-GEN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მიუკერძოებლობის ზოგადი დეკლარაცია</w:t>
            </w:r>
          </w:p>
        </w:tc>
        <w:tc>
          <w:tcPr>
            <w:tcW w:w="2200" w:type="dxa"/>
          </w:tcPr>
          <w:p>
            <w:pPr/>
            <w:r>
              <w:rPr/>
              <w:t>BE-PR-06 / §4.1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თანამშრომლის ზოგადი წლიური ვალდებულება მიუკერძოებლობაზე.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BE-FM-IMP-CHECK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მიუკერძოებლობის შემოწმება</w:t>
            </w:r>
          </w:p>
        </w:tc>
        <w:tc>
          <w:tcPr>
            <w:tcW w:w="2200" w:type="dxa"/>
          </w:tcPr>
          <w:p>
            <w:pPr/>
            <w:r>
              <w:rPr/>
              <w:t>BE-PR-06 / §4.1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კონკრეტული საქმისთვის კონფლიქტის შემოწმება დაწყებამდე.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BE-FM-IMP-RISK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მიუკერძოებლობის რისკების შეფასება</w:t>
            </w:r>
          </w:p>
        </w:tc>
        <w:tc>
          <w:tcPr>
            <w:tcW w:w="2200" w:type="dxa"/>
          </w:tcPr>
          <w:p>
            <w:pPr/>
            <w:r>
              <w:rPr/>
              <w:t>BE-PR-06 / §4.1 (RM-01)</w:t>
            </w:r>
          </w:p>
        </w:tc>
        <w:tc>
          <w:tcPr>
            <w:tcW w:w="4000" w:type="dxa"/>
          </w:tcPr>
          <w:p>
            <w:pPr/>
            <w:r>
              <w:rPr/>
              <w:t xml:space="preserve">რისკების სისტემური შეფასება რისკის მატრიცით და შემარბილებელი ზომებით.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BE-FM-IMP-COMMITTEE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მიუკერძოებლობის დაცვის კომიტეტის ოქმი</w:t>
            </w:r>
          </w:p>
        </w:tc>
        <w:tc>
          <w:tcPr>
            <w:tcW w:w="2200" w:type="dxa"/>
          </w:tcPr>
          <w:p>
            <w:pPr/>
            <w:r>
              <w:rPr/>
              <w:t>BE-PR-06 / §4.1 (ORD-05)</w:t>
            </w:r>
          </w:p>
        </w:tc>
        <w:tc>
          <w:tcPr>
            <w:tcW w:w="4000" w:type="dxa"/>
          </w:tcPr>
          <w:p>
            <w:pPr/>
            <w:r>
              <w:rPr/>
              <w:t xml:space="preserve">მიუკერძოებლობის უზრუნველყოფის კომიტეტის შემადგენლობა და სხდომების ოქმი.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BE-FM-CONF</w:t>
            </w:r>
          </w:p>
        </w:tc>
        <w:tc>
          <w:tcPr>
            <w:tcW w:w="2600" w:type="dxa"/>
          </w:tcPr>
          <w:p>
            <w:pPr/>
            <w:r>
              <w:rPr/>
              <w:t xml:space="preserve">კონფიდენციალობის შეთანხმება</w:t>
            </w:r>
          </w:p>
        </w:tc>
        <w:tc>
          <w:tcPr>
            <w:tcW w:w="2200" w:type="dxa"/>
          </w:tcPr>
          <w:p>
            <w:pPr/>
            <w:r>
              <w:rPr/>
              <w:t>BE-PR-06 / §4.2</w:t>
            </w:r>
          </w:p>
        </w:tc>
        <w:tc>
          <w:tcPr>
            <w:tcW w:w="4000" w:type="dxa"/>
          </w:tcPr>
          <w:p>
            <w:pPr/>
            <w:r>
              <w:rPr/>
              <w:t xml:space="preserve">პერსონალის ვალდებულება ინფორმაციის კონფიდენციალურობაზე.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BE-FM-COMP</w:t>
            </w:r>
          </w:p>
        </w:tc>
        <w:tc>
          <w:tcPr>
            <w:tcW w:w="2600" w:type="dxa"/>
          </w:tcPr>
          <w:p>
            <w:pPr/>
            <w:r>
              <w:rPr/>
              <w:t xml:space="preserve">პერსონალის ავტორიზაცია</w:t>
            </w:r>
          </w:p>
        </w:tc>
        <w:tc>
          <w:tcPr>
            <w:tcW w:w="2200" w:type="dxa"/>
          </w:tcPr>
          <w:p>
            <w:pPr/>
            <w:r>
              <w:rPr/>
              <w:t>BE-PR-07 / §6.1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ინსპექტორის უფლებამოსილების მინიჭება კონკრეტული სფეროსთვის.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BE-FM-COMP-CHECK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კომპეტენციის ვერიფიკაცია</w:t>
            </w:r>
          </w:p>
        </w:tc>
        <w:tc>
          <w:tcPr>
            <w:tcW w:w="2200" w:type="dxa"/>
          </w:tcPr>
          <w:p>
            <w:pPr/>
            <w:r>
              <w:rPr/>
              <w:t>BE-PR-07 / §6.1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ინსპექტორის კომპეტენციის პერიოდული გადამოწმება ქულებით.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BE-FM-TRAIN</w:t>
            </w:r>
          </w:p>
        </w:tc>
        <w:tc>
          <w:tcPr>
            <w:tcW w:w="2600" w:type="dxa"/>
          </w:tcPr>
          <w:p>
            <w:pPr/>
            <w:r>
              <w:rPr/>
              <w:t xml:space="preserve">ტრენინგის ჩანაწერი</w:t>
            </w:r>
          </w:p>
        </w:tc>
        <w:tc>
          <w:tcPr>
            <w:tcW w:w="2200" w:type="dxa"/>
          </w:tcPr>
          <w:p>
            <w:pPr/>
            <w:r>
              <w:rPr/>
              <w:t>BE-PR-07 / §6.1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თანამშრომლის ტრენინგის დოკუმენტირება და შეფასების შედეგი.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BE-FM-EST</w:t>
            </w:r>
          </w:p>
        </w:tc>
        <w:tc>
          <w:tcPr>
            <w:tcW w:w="2600" w:type="dxa"/>
          </w:tcPr>
          <w:p>
            <w:pPr/>
            <w:r>
              <w:rPr/>
              <w:t xml:space="preserve">ბიუჯეტის შეფასება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სამუშაოს მოცულობისა და ღირებულების წინასწარი შეფასება.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BE-FM-OFFER</w:t>
            </w:r>
          </w:p>
        </w:tc>
        <w:tc>
          <w:tcPr>
            <w:tcW w:w="2600" w:type="dxa"/>
          </w:tcPr>
          <w:p>
            <w:pPr/>
            <w:r>
              <w:rPr/>
              <w:t xml:space="preserve">კომერციული შეთავაზება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დამკვეთისთვის ოფიციალური კომერციული შეთავაზება.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BE-FM-CONTRACT-REVIEW</w:t>
            </w:r>
          </w:p>
        </w:tc>
        <w:tc>
          <w:tcPr>
            <w:tcW w:w="2600" w:type="dxa"/>
          </w:tcPr>
          <w:p>
            <w:pPr/>
            <w:r>
              <w:rPr/>
              <w:t xml:space="preserve">ხელშეკრულების განხილვა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ხელშეკრულების მოთხოვნების სისტემური განხილვა.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BE-FM-CONTRACT</w:t>
            </w:r>
          </w:p>
        </w:tc>
        <w:tc>
          <w:tcPr>
            <w:tcW w:w="2600" w:type="dxa"/>
          </w:tcPr>
          <w:p>
            <w:pPr/>
            <w:r>
              <w:rPr/>
              <w:t xml:space="preserve">ხელშეკრულების შაბლონი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ინსპექტირების მომსახურების ხელშეკრულების სტანდარტული შაბლონი.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BE-FM-CONTRACT-REGISTRY</w:t>
            </w:r>
          </w:p>
        </w:tc>
        <w:tc>
          <w:tcPr>
            <w:tcW w:w="2600" w:type="dxa"/>
          </w:tcPr>
          <w:p>
            <w:pPr/>
            <w:r>
              <w:rPr/>
              <w:t xml:space="preserve">ხელშეკრულებების რეესტრი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გაფორმებული ხელშეკრულებების ცენტრალური რეესტრი.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BE-FM-DECLINE</w:t>
            </w:r>
          </w:p>
        </w:tc>
        <w:tc>
          <w:tcPr>
            <w:tcW w:w="2600" w:type="dxa"/>
          </w:tcPr>
          <w:p>
            <w:pPr/>
            <w:r>
              <w:rPr/>
              <w:t xml:space="preserve">უარის წერილი</w:t>
            </w:r>
          </w:p>
        </w:tc>
        <w:tc>
          <w:tcPr>
            <w:tcW w:w="2200" w:type="dxa"/>
          </w:tcPr>
          <w:p>
            <w:pPr/>
            <w:r>
              <w:rPr/>
              <w:t>BE-PR-08 / §7.1.5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დასაბუთებული უარი მომსახურების გაწევაზე.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BE-FM-DOC-REQ</w:t>
            </w:r>
          </w:p>
        </w:tc>
        <w:tc>
          <w:tcPr>
            <w:tcW w:w="2600" w:type="dxa"/>
          </w:tcPr>
          <w:p>
            <w:pPr/>
            <w:r>
              <w:rPr/>
              <w:t xml:space="preserve">დოკუმენტაციის მოთხოვნა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დამკვეთისგან საჭირო დოკუმენტაციის ოფიციალური მოთხოვნა.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BE-FM-DOC-CHECK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საკმარისობის შემოწმება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მიღებული დოკუმენტაციის სისრულის შემოწმება.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BE-FM-NORM-PROFILE</w:t>
            </w:r>
          </w:p>
        </w:tc>
        <w:tc>
          <w:tcPr>
            <w:tcW w:w="2600" w:type="dxa"/>
          </w:tcPr>
          <w:p>
            <w:pPr/>
            <w:r>
              <w:rPr/>
              <w:t xml:space="preserve">ობიექტის ნორმატიული პროფილი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ობიექტისთვის გამოყენებადი ნორმატიული ბაზის განსაზღვრა.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BE-FM-ORD</w:t>
            </w:r>
          </w:p>
        </w:tc>
        <w:tc>
          <w:tcPr>
            <w:tcW w:w="2600" w:type="dxa"/>
          </w:tcPr>
          <w:p>
            <w:pPr/>
            <w:r>
              <w:rPr/>
              <w:t xml:space="preserve">ჯგუფის დანიშვნის ბრძანება</w:t>
            </w:r>
          </w:p>
        </w:tc>
        <w:tc>
          <w:tcPr>
            <w:tcW w:w="2200" w:type="dxa"/>
          </w:tcPr>
          <w:p>
            <w:pPr/>
            <w:r>
              <w:rPr/>
              <w:t>BE-PR-07 / §6.1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დირექტორის ბრძანება ინსპექტირების ჯგუფის დანიშვნაზე.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BE-FM-NOTIFY</w:t>
            </w:r>
          </w:p>
        </w:tc>
        <w:tc>
          <w:tcPr>
            <w:tcW w:w="2600" w:type="dxa"/>
          </w:tcPr>
          <w:p>
            <w:pPr/>
            <w:r>
              <w:rPr/>
              <w:t xml:space="preserve">ცნობის ფურცელი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დამკვეთის ინფორმირება ვიზიტის თარიღსა და პირობებზე.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BE-FM-PLAN</w:t>
            </w:r>
          </w:p>
        </w:tc>
        <w:tc>
          <w:tcPr>
            <w:tcW w:w="2600" w:type="dxa"/>
          </w:tcPr>
          <w:p>
            <w:pPr/>
            <w:r>
              <w:rPr/>
              <w:t xml:space="preserve">ინსპექტირების გეგმა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ინსპექტირების დეტალური გეგმა — ეტაპები, მეთოდები, სტანდარტები.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BE-FM-EQ-CHECK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აღჭურვილობის შემოწმება</w:t>
            </w:r>
          </w:p>
        </w:tc>
        <w:tc>
          <w:tcPr>
            <w:tcW w:w="2200" w:type="dxa"/>
          </w:tcPr>
          <w:p>
            <w:pPr/>
            <w:r>
              <w:rPr/>
              <w:t>BE-PR-13 / §6.2</w:t>
            </w:r>
          </w:p>
        </w:tc>
        <w:tc>
          <w:tcPr>
            <w:tcW w:w="4000" w:type="dxa"/>
          </w:tcPr>
          <w:p>
            <w:pPr/>
            <w:r>
              <w:rPr/>
              <w:t xml:space="preserve">საზომი აღჭურვილობის ვარგისობისა და კალიბრაციის შემოწმება.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BE-FM-EQ-CARD</w:t>
            </w:r>
          </w:p>
        </w:tc>
        <w:tc>
          <w:tcPr>
            <w:tcW w:w="2600" w:type="dxa"/>
          </w:tcPr>
          <w:p>
            <w:pPr/>
            <w:r>
              <w:rPr/>
              <w:t xml:space="preserve">აღჭურვილობის სარეგისტრაციო ბარათი</w:t>
            </w:r>
          </w:p>
        </w:tc>
        <w:tc>
          <w:tcPr>
            <w:tcW w:w="2200" w:type="dxa"/>
          </w:tcPr>
          <w:p>
            <w:pPr/>
            <w:r>
              <w:rPr/>
              <w:t>BE-PR-13 / §6.2</w:t>
            </w:r>
          </w:p>
        </w:tc>
        <w:tc>
          <w:tcPr>
            <w:tcW w:w="4000" w:type="dxa"/>
          </w:tcPr>
          <w:p>
            <w:pPr/>
            <w:r>
              <w:rPr/>
              <w:t xml:space="preserve">საზომი მოწყობილობის სარეგისტრაციო ბარათი ეტალონთან კავშირით.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BE-FM-VISIT</w:t>
            </w:r>
          </w:p>
        </w:tc>
        <w:tc>
          <w:tcPr>
            <w:tcW w:w="2600" w:type="dxa"/>
          </w:tcPr>
          <w:p>
            <w:pPr/>
            <w:r>
              <w:rPr/>
              <w:t xml:space="preserve">ვიზიტის ჩანაწერი</w:t>
            </w:r>
          </w:p>
        </w:tc>
        <w:tc>
          <w:tcPr>
            <w:tcW w:w="2200" w:type="dxa"/>
          </w:tcPr>
          <w:p>
            <w:pPr/>
            <w:r>
              <w:rPr/>
              <w:t xml:space="preserve">BE-PR-01/02/03 / §7.3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ობიექტზე ვიზიტის ჩანაწერი — შემოწმებები და შეუსაბამობები.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BE-FM-FIELD-LOG</w:t>
            </w:r>
          </w:p>
        </w:tc>
        <w:tc>
          <w:tcPr>
            <w:tcW w:w="2600" w:type="dxa"/>
          </w:tcPr>
          <w:p>
            <w:pPr/>
            <w:r>
              <w:rPr/>
              <w:t xml:space="preserve">საველე ჟურნალი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ინსპექტორის სამუშაო ჟურნალი — დაკვირვებები და გაზომვები.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BE-FM-MEASURE</w:t>
            </w:r>
          </w:p>
        </w:tc>
        <w:tc>
          <w:tcPr>
            <w:tcW w:w="2600" w:type="dxa"/>
          </w:tcPr>
          <w:p>
            <w:pPr/>
            <w:r>
              <w:rPr/>
              <w:t xml:space="preserve">გაზომვების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BE-PR-01/02/03 / §7.3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ჩატარებული გაზომვების სტრუქტურირებული ოქმი.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BE-FM-OBSERVATION</w:t>
            </w:r>
          </w:p>
        </w:tc>
        <w:tc>
          <w:tcPr>
            <w:tcW w:w="2600" w:type="dxa"/>
          </w:tcPr>
          <w:p>
            <w:pPr/>
            <w:r>
              <w:rPr/>
              <w:t xml:space="preserve">დაკვირვების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BE-PR-01/02/03 / §7.3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ვიზუალური დაკვირვებებისა და მიგნებების სისტემური ჩაწერა.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BE-FM-PHOTO-LOG</w:t>
            </w:r>
          </w:p>
        </w:tc>
        <w:tc>
          <w:tcPr>
            <w:tcW w:w="2600" w:type="dxa"/>
          </w:tcPr>
          <w:p>
            <w:pPr/>
            <w:r>
              <w:rPr/>
              <w:t xml:space="preserve">ფოტო- და ვიდეოდოკუმენტაციის ჟურნალი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§7.3, QM-01 §10.4.1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ფოტო/ვიდეომასალის აღრიცხვა გადაღების თარიღისა და ზუსტი დროის სავალდებულო მითითებით (timestamp).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BE-FM-COMPARE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შედარების ცხრილი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ფაქტობრივი მონაცემებისა და ნორმატიული მოთხოვნების შედარება.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BE-FM-CALC</w:t>
            </w:r>
          </w:p>
        </w:tc>
        <w:tc>
          <w:tcPr>
            <w:tcW w:w="2600" w:type="dxa"/>
          </w:tcPr>
          <w:p>
            <w:pPr/>
            <w:r>
              <w:rPr/>
              <w:t xml:space="preserve">გამოთვლები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შეფასების გაანგარიშებების სამუშაო ფურცელი.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BE-FM-NORM-CHECK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ნორმატიული შესაბამისობა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ობიექტის შესაბამისობის შემოწმება ნორმატიული მოთხოვნებით.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BE-FM-FINDING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მიგნებების ცხრილი</w:t>
            </w:r>
          </w:p>
        </w:tc>
        <w:tc>
          <w:tcPr>
            <w:tcW w:w="2200" w:type="dxa"/>
          </w:tcPr>
          <w:p>
            <w:pPr/>
            <w:r>
              <w:rPr/>
              <w:t>BE-PR-01/02/03 / §7.1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გამოვლენილი მიგნებებისა და ხარვეზების სტრუქტურირებული ცხრილი.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BE-FM-IR</w:t>
            </w:r>
          </w:p>
        </w:tc>
        <w:tc>
          <w:tcPr>
            <w:tcW w:w="2600" w:type="dxa"/>
          </w:tcPr>
          <w:p>
            <w:pPr/>
            <w:r>
              <w:rPr/>
              <w:t xml:space="preserve">ინსპექტირების ანგარიში და დასკვნა</w:t>
            </w:r>
          </w:p>
        </w:tc>
        <w:tc>
          <w:tcPr>
            <w:tcW w:w="2200" w:type="dxa"/>
          </w:tcPr>
          <w:p>
            <w:pPr/>
            <w:r>
              <w:rPr/>
              <w:t>BE-PR-15 / §7.4.2</w:t>
            </w:r>
          </w:p>
        </w:tc>
        <w:tc>
          <w:tcPr>
            <w:tcW w:w="4000" w:type="dxa"/>
          </w:tcPr>
          <w:p>
            <w:pPr/>
            <w:r>
              <w:rPr/>
              <w:t xml:space="preserve">საბოლოო ანგარიში — ISO §7.4.2 (ა)-(ზ) სავალდებულო ველებით (იხ. §3).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BE-FM-TECH-REVIEW</w:t>
            </w:r>
          </w:p>
        </w:tc>
        <w:tc>
          <w:tcPr>
            <w:tcW w:w="2600" w:type="dxa"/>
          </w:tcPr>
          <w:p>
            <w:pPr/>
            <w:r>
              <w:rPr/>
              <w:t xml:space="preserve">ტექნიკური მიმოხილვა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ანგარიშის ტექნიკური გადამოწმება ტექნიკური მენეჯერის მიერ.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BE-FM-QM-CHECK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ხარისხის შემოწმება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ანგარიშის საბოლოო ხარისხის შემოწმება ხარისხის მენეჯერის მიერ.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BE-FM-DELIVERY-LETTER</w:t>
            </w:r>
          </w:p>
        </w:tc>
        <w:tc>
          <w:tcPr>
            <w:tcW w:w="2600" w:type="dxa"/>
          </w:tcPr>
          <w:p>
            <w:pPr/>
            <w:r>
              <w:rPr/>
              <w:t xml:space="preserve">გადაცემის წერილი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ანგარიშის გადაცემის თანმხლები ოფიციალური წერილი.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BE-FM-ACCEPT-ACT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მიღება-ჩაბარების აქტი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ანგარიშის გადაცემის ორმხრივი დადასტურების აქტი.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BE-FM-IR-REGISTRY</w:t>
            </w:r>
          </w:p>
        </w:tc>
        <w:tc>
          <w:tcPr>
            <w:tcW w:w="2600" w:type="dxa"/>
          </w:tcPr>
          <w:p>
            <w:pPr/>
            <w:r>
              <w:rPr/>
              <w:t xml:space="preserve">დასკვნების რეესტრი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გაცემული ანგარიშებისა და დასკვნების ცენტრალური რეესტრი.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BE-FM-INSP-REG</w:t>
            </w:r>
          </w:p>
        </w:tc>
        <w:tc>
          <w:tcPr>
            <w:tcW w:w="2600" w:type="dxa"/>
          </w:tcPr>
          <w:p>
            <w:pPr/>
            <w:r>
              <w:rPr/>
              <w:t xml:space="preserve">ინსპექციების რეგისტრი</w:t>
            </w:r>
          </w:p>
        </w:tc>
        <w:tc>
          <w:tcPr>
            <w:tcW w:w="2200" w:type="dxa"/>
          </w:tcPr>
          <w:p>
            <w:pPr/>
            <w:r>
              <w:rPr/>
              <w:t>BE-PR-15 / §7.4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ჩატარებული ინსპექციების ჟურნალი — საქმე, ობიექტი, ინსპექტორი.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BE-FM-COMPLAINT</w:t>
            </w:r>
          </w:p>
        </w:tc>
        <w:tc>
          <w:tcPr>
            <w:tcW w:w="2600" w:type="dxa"/>
          </w:tcPr>
          <w:p>
            <w:pPr/>
            <w:r>
              <w:rPr/>
              <w:t xml:space="preserve">საჩივრის რეგისტრაციის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BE-PR-09 / §7.5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საჩივრის რეგისტრაცია, განხილვა და გადაწყვეტა.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BE-FM-APPEAL</w:t>
            </w:r>
          </w:p>
        </w:tc>
        <w:tc>
          <w:tcPr>
            <w:tcW w:w="2600" w:type="dxa"/>
          </w:tcPr>
          <w:p>
            <w:pPr/>
            <w:r>
              <w:rPr/>
              <w:t xml:space="preserve">აპელაციის რეგისტრაციის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BE-PR-09 / §7.6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შედეგზე აპელაციის რეგისტრაცია და დამოუკიდებელი განხილვა.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BE-FM-NONCONF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შეუსაბამო სამუშაოს მართვა</w:t>
            </w:r>
          </w:p>
        </w:tc>
        <w:tc>
          <w:tcPr>
            <w:tcW w:w="2200" w:type="dxa"/>
          </w:tcPr>
          <w:p>
            <w:pPr/>
            <w:r>
              <w:rPr/>
              <w:t>BE-PR-12 / §8.7</w:t>
            </w:r>
          </w:p>
        </w:tc>
        <w:tc>
          <w:tcPr>
            <w:tcW w:w="4000" w:type="dxa"/>
          </w:tcPr>
          <w:p>
            <w:pPr/>
            <w:r>
              <w:rPr/>
              <w:t xml:space="preserve">შეუსაბამო სამუშაოს მართვა, დამკვეთის ინფორმირება და დახურვა.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BE-FM-CAPA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მაკორექტირებელი და პრევენციული ქმედება (CAPA)</w:t>
            </w:r>
          </w:p>
        </w:tc>
        <w:tc>
          <w:tcPr>
            <w:tcW w:w="2200" w:type="dxa"/>
          </w:tcPr>
          <w:p>
            <w:pPr/>
            <w:r>
              <w:rPr/>
              <w:t>BE-PR-12 / §8.7</w:t>
            </w:r>
          </w:p>
        </w:tc>
        <w:tc>
          <w:tcPr>
            <w:tcW w:w="4000" w:type="dxa"/>
          </w:tcPr>
          <w:p>
            <w:pPr/>
            <w:r>
              <w:rPr/>
              <w:t xml:space="preserve">ფესვური მიზეზის ანალიზი, მაკორექტირებელი ქმედება და ეფექტურობა.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BE-FM-CHANGE-INIT</w:t>
            </w:r>
          </w:p>
        </w:tc>
        <w:tc>
          <w:tcPr>
            <w:tcW w:w="2600" w:type="dxa"/>
          </w:tcPr>
          <w:p>
            <w:pPr/>
            <w:r>
              <w:rPr/>
              <w:t xml:space="preserve">ცვლილების ინიცირება</w:t>
            </w:r>
          </w:p>
        </w:tc>
        <w:tc>
          <w:tcPr>
            <w:tcW w:w="2200" w:type="dxa"/>
          </w:tcPr>
          <w:p>
            <w:pPr/>
            <w:r>
              <w:rPr/>
              <w:t>BE-PR-04 / §8.3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დოკუმენტში ცვლილების შეტანის წინადადება და დასაბუთება.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BE-FM-CHANGE-REG</w:t>
            </w:r>
          </w:p>
        </w:tc>
        <w:tc>
          <w:tcPr>
            <w:tcW w:w="2600" w:type="dxa"/>
          </w:tcPr>
          <w:p>
            <w:pPr/>
            <w:r>
              <w:rPr/>
              <w:t xml:space="preserve">ცვლილებების რეგისტრი</w:t>
            </w:r>
          </w:p>
        </w:tc>
        <w:tc>
          <w:tcPr>
            <w:tcW w:w="2200" w:type="dxa"/>
          </w:tcPr>
          <w:p>
            <w:pPr/>
            <w:r>
              <w:rPr/>
              <w:t>BE-PR-04 / §8.3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დოკუმენტური ცვლილებების ცენტრალური რეესტრი.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BE-FM-FAMIL</w:t>
            </w:r>
          </w:p>
        </w:tc>
        <w:tc>
          <w:tcPr>
            <w:tcW w:w="2600" w:type="dxa"/>
          </w:tcPr>
          <w:p>
            <w:pPr/>
            <w:r>
              <w:rPr/>
              <w:t xml:space="preserve">გაცნობის ფურცელი</w:t>
            </w:r>
          </w:p>
        </w:tc>
        <w:tc>
          <w:tcPr>
            <w:tcW w:w="2200" w:type="dxa"/>
          </w:tcPr>
          <w:p>
            <w:pPr/>
            <w:r>
              <w:rPr/>
              <w:t>BE-PR-04 / §8.3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განახლებული დოკუმენტის გაცნობის დადასტურება ხელმოწერით.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51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BE-FM-DESTROY-ACT</w:t>
            </w:r>
          </w:p>
        </w:tc>
        <w:tc>
          <w:tcPr>
            <w:tcW w:w="2600" w:type="dxa"/>
          </w:tcPr>
          <w:p>
            <w:pPr/>
            <w:r>
              <w:rPr/>
              <w:t xml:space="preserve">ლიკვიდაციის (განადგურების) აქტი</w:t>
            </w:r>
          </w:p>
        </w:tc>
        <w:tc>
          <w:tcPr>
            <w:tcW w:w="2200" w:type="dxa"/>
          </w:tcPr>
          <w:p>
            <w:pPr/>
            <w:r>
              <w:rPr/>
              <w:t>BE-PR-05 / §8.4</w:t>
            </w:r>
          </w:p>
        </w:tc>
        <w:tc>
          <w:tcPr>
            <w:tcW w:w="4000" w:type="dxa"/>
          </w:tcPr>
          <w:p>
            <w:pPr/>
            <w:r>
              <w:rPr/>
              <w:t xml:space="preserve">ვადაგასული დოკუმენტების განადგურების აქტი.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52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BE-FM-AUDIT-PROGRAM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შიდა აუდიტის წლიური პროგრამა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წლიური აუდიტის პროგრამა ობიექტებისა და კვარტლების მიხედვით.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53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BE-FM-AUDIT-PLAN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შიდა აუდიტის გეგმა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კონკრეტული აუდიტის გეგმა — შესამოწმებელი ISO პარაგრაფები.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54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BE-FM-AUDIT-CHECK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შიდა აუდიტის ჩეკლისტი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ISO პარაგრაფების სრული ჩეკლისტი შესაბამისობის შემოწმებით.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55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BE-FM-AUDIT-REPORT</w:t>
            </w:r>
          </w:p>
        </w:tc>
        <w:tc>
          <w:tcPr>
            <w:tcW w:w="2600" w:type="dxa"/>
          </w:tcPr>
          <w:p>
            <w:pPr/>
            <w:r>
              <w:rPr/>
              <w:t xml:space="preserve">შიდა აუდიტის ანგარიში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აუდიტის ანგარიში — მიგნებები და საბოლოო შეფასება.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56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BE-FM-AUDIT-NC</w:t>
            </w:r>
          </w:p>
        </w:tc>
        <w:tc>
          <w:tcPr>
            <w:tcW w:w="2600" w:type="dxa"/>
          </w:tcPr>
          <w:p>
            <w:pPr/>
            <w:r>
              <w:rPr/>
              <w:t xml:space="preserve">აუდიტის შეუსაბამობის ფორმა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აუდიტში გამოვლენილი შეუსაბამობის ფორმა და მაკორექტირებელი ქმედება.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57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BE-FM-AUDIT-MEETING</w:t>
            </w:r>
          </w:p>
        </w:tc>
        <w:tc>
          <w:tcPr>
            <w:tcW w:w="2600" w:type="dxa"/>
          </w:tcPr>
          <w:p>
            <w:pPr/>
            <w:r>
              <w:rPr/>
              <w:t xml:space="preserve">აუდიტის შეხვედრის ოქმი</w:t>
            </w:r>
          </w:p>
        </w:tc>
        <w:tc>
          <w:tcPr>
            <w:tcW w:w="2200" w:type="dxa"/>
          </w:tcPr>
          <w:p>
            <w:pPr/>
            <w:r>
              <w:rPr/>
              <w:t>BE-PR-10 / §8.6</w:t>
            </w:r>
          </w:p>
        </w:tc>
        <w:tc>
          <w:tcPr>
            <w:tcW w:w="4000" w:type="dxa"/>
          </w:tcPr>
          <w:p>
            <w:pPr/>
            <w:r>
              <w:rPr/>
              <w:t xml:space="preserve">აუდიტის გახსნისა და დახურვის შეხვედრის ოქმი.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58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BE-FM-SUB-MONITOR</w:t>
            </w:r>
          </w:p>
        </w:tc>
        <w:tc>
          <w:tcPr>
            <w:tcW w:w="2600" w:type="dxa"/>
          </w:tcPr>
          <w:p>
            <w:pPr/>
            <w:r>
              <w:rPr/>
              <w:t xml:space="preserve">ქვეკონტრაქტორის შეფასება და მონიტორინგი</w:t>
            </w:r>
          </w:p>
        </w:tc>
        <w:tc>
          <w:tcPr>
            <w:tcW w:w="2200" w:type="dxa"/>
          </w:tcPr>
          <w:p>
            <w:pPr/>
            <w:r>
              <w:rPr/>
              <w:t>BE-PR-14 / §6.3</w:t>
            </w:r>
          </w:p>
        </w:tc>
        <w:tc>
          <w:tcPr>
            <w:tcW w:w="4000" w:type="dxa"/>
          </w:tcPr>
          <w:p>
            <w:pPr/>
            <w:r>
              <w:rPr/>
              <w:t xml:space="preserve">ქვეკონტრაქტორის კვალიფიკაციის შეფასება და მუდმივი მონიტორინგი.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59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BE-FM-SATISF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მომხმარებლის კმაყოფილების კვლევა</w:t>
            </w:r>
          </w:p>
        </w:tc>
        <w:tc>
          <w:tcPr>
            <w:tcW w:w="2200" w:type="dxa"/>
          </w:tcPr>
          <w:p>
            <w:pPr/>
            <w:r>
              <w:rPr/>
              <w:t>BE-PR-11 / §8.5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დამკვეთის კმაყოფილების შეფასება და გაუმჯობესების წინადადებები.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60</w:t>
            </w:r>
          </w:p>
        </w:tc>
        <w:tc>
          <w:tcPr>
            <w:tcW w:w="2100" w:type="dxa"/>
          </w:tcPr>
          <w:p>
            <w:pPr/>
            <w:r>
              <w:rPr/>
              <w:t xml:space="preserve">BE-FM-MGMT-REVIEW</w:t>
            </w:r>
          </w:p>
        </w:tc>
        <w:tc>
          <w:tcPr>
            <w:tcW w:w="2600" w:type="dxa"/>
          </w:tcPr>
          <w:p>
            <w:pPr/>
            <w:r>
              <w:rPr/>
              <w:t xml:space="preserve">მართვის ანალიზი — სხდომის ოქმი</w:t>
            </w:r>
          </w:p>
        </w:tc>
        <w:tc>
          <w:tcPr>
            <w:tcW w:w="2200" w:type="dxa"/>
          </w:tcPr>
          <w:p>
            <w:pPr/>
            <w:r>
              <w:rPr/>
              <w:t>BE-PR-11 / §8.5</w:t>
            </w:r>
          </w:p>
        </w:tc>
        <w:tc>
          <w:tcPr>
            <w:tcW w:w="4000" w:type="dxa"/>
          </w:tcPr>
          <w:p>
            <w:pPr/>
            <w:r>
              <w:rPr/>
              <w:t xml:space="preserve">მენეჯმენტის პერიოდული ანალიზის ოქმი და გადაწყვეტილებები.</w:t>
            </w:r>
          </w:p>
        </w:tc>
      </w:tr>
    </w:tbl>
    <w:p>
      <w:pPr/>
    </w:p>
    <w:p>
      <w:pPr/>
      <w:r>
        <w:rPr>
          <w:i/>
        </w:rPr>
        <w:t xml:space="preserve">შენიშვნა: სულ 60 ფორმა. ფორმები დანომრილია ინსპექტირების სამუშაო ნაკადის ლოგიკური თანმიმდევრობით. ფორმა BE-FM-IMP-COMMITTEE და განახლებული BE-FM-PHOTO-LOG შაბლონი ხელმისაწვდომია .docx ფორმატშიც წინამდებარე ფოლდერში.</w:t>
      </w:r>
    </w:p>
    <w:p>
      <w:pPr/>
    </w:p>
    <w:p>
      <w:pPr>
        <w:pStyle w:val="Heading1"/>
      </w:pPr>
      <w:r>
        <w:rPr>
          <w:b/>
          <w:sz w:val="28"/>
          <w:szCs w:val="28"/>
        </w:rPr>
        <w:t xml:space="preserve">3. BE-FM-IR — ინსპექტირების ანგარიშის სავალდებულო ველები (ISO/IEC 17020 §7.4.2)</w:t>
      </w:r>
    </w:p>
    <w:p>
      <w:pPr/>
      <w:r>
        <w:rPr/>
        <w:t xml:space="preserve">ინსპექტირების ანგარიში (BE-FM-IR) სავალდებულოდ უნდა შეიცავდეს ISO/IEC 17020 §7.4.2 ქვეპუნქტებით (ა)-(ზ) განსაზღვრულ ყველა ელემენტს. ვინაიდან არსებული ფორმა PDF ფორმატშია და უშუალოდ აქ ვერ რედაქტირდება, ქვემოთ ავტორიტეტულად განისაზღვრება ის ველთა ნაკრები, რომელიც ფორმამ სავალდებულოდ უნდა ასახოს.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400"/>
        <w:gridCol w:w="4200"/>
        <w:gridCol w:w="3400"/>
      </w:tblGrid>
      <w:tr>
        <w:tc>
          <w:tcPr>
            <w:tcW w:w="1400" w:type="dxa"/>
            <w:shd w:val="clear" w:color="auto" w:fill="D9E2F3"/>
          </w:tcPr>
          <w:p>
            <w:pPr/>
            <w:r>
              <w:rPr>
                <w:b/>
              </w:rPr>
              <w:t xml:space="preserve">ISO §7.4.2 ქვეპუნქტი</w:t>
            </w:r>
          </w:p>
        </w:tc>
        <w:tc>
          <w:tcPr>
            <w:tcW w:w="4200" w:type="dxa"/>
            <w:shd w:val="clear" w:color="auto" w:fill="D9E2F3"/>
          </w:tcPr>
          <w:p>
            <w:pPr/>
            <w:r>
              <w:rPr>
                <w:b/>
              </w:rPr>
              <w:t xml:space="preserve">სავალდებულო ველი BE-FM-IR ფორმაში</w:t>
            </w:r>
          </w:p>
        </w:tc>
        <w:tc>
          <w:tcPr>
            <w:tcW w:w="3400" w:type="dxa"/>
            <w:shd w:val="clear" w:color="auto" w:fill="D9E2F3"/>
          </w:tcPr>
          <w:p>
            <w:pPr/>
            <w:r>
              <w:rPr>
                <w:b/>
              </w:rPr>
              <w:t xml:space="preserve">შენიშვნა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(ა)</w:t>
            </w:r>
          </w:p>
        </w:tc>
        <w:tc>
          <w:tcPr>
            <w:tcW w:w="4200" w:type="dxa"/>
          </w:tcPr>
          <w:p>
            <w:pPr/>
            <w:r>
              <w:rPr/>
              <w:t xml:space="preserve">ინსპექტირების ორგანოს იდენტიფიკაცია — შპს „ბილდექს ექსპერტიზა", სრული რეკვიზიტები და აკრედიტაციის ნომერი.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ორგანოს დასახელება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(ბ)</w:t>
            </w:r>
          </w:p>
        </w:tc>
        <w:tc>
          <w:tcPr>
            <w:tcW w:w="4200" w:type="dxa"/>
          </w:tcPr>
          <w:p>
            <w:pPr/>
            <w:r>
              <w:rPr/>
              <w:t xml:space="preserve">ანგარიშის უნიკალური იდენტიფიკაცია — დოკუმენტის ნომერი, თითოეული გვერდის ნუმერაცია და სრული გვერდების რაოდენობა, გამოცემის თარიღი.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უნიკალური № + გვერდ. ნუმერაცია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(გ)</w:t>
            </w:r>
          </w:p>
        </w:tc>
        <w:tc>
          <w:tcPr>
            <w:tcW w:w="4200" w:type="dxa"/>
          </w:tcPr>
          <w:p>
            <w:pPr/>
            <w:r>
              <w:rPr/>
              <w:t xml:space="preserve">დამკვეთის იდენტიფიკაცია — შეკვეთის ავტორის დასახელება და მისამართი.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დამკვეთის რეკვიზიტები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(დ)</w:t>
            </w:r>
          </w:p>
        </w:tc>
        <w:tc>
          <w:tcPr>
            <w:tcW w:w="4200" w:type="dxa"/>
          </w:tcPr>
          <w:p>
            <w:pPr/>
            <w:r>
              <w:rPr/>
              <w:t xml:space="preserve">ინსპექტირების მეთოდ(ებ)ის აღწერა — გამოყენებული მეთოდოლოგია, სტანდარტები, ნორმატიული ბაზა და კრიტერიუმები.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მეთოდი + სტანდარტები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(ე)</w:t>
            </w:r>
          </w:p>
        </w:tc>
        <w:tc>
          <w:tcPr>
            <w:tcW w:w="4200" w:type="dxa"/>
          </w:tcPr>
          <w:p>
            <w:pPr/>
            <w:r>
              <w:rPr/>
              <w:t xml:space="preserve">ინსპექტირებული ობიექტ(ებ)ის იდენტიფიკაცია — ობიექტის დასახელება, მისამართი, მახასიათებლები და გამოკვლეული ელემენტები.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ობიექტის სრული აღწერა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(ვ)</w:t>
            </w:r>
          </w:p>
        </w:tc>
        <w:tc>
          <w:tcPr>
            <w:tcW w:w="4200" w:type="dxa"/>
          </w:tcPr>
          <w:p>
            <w:pPr/>
            <w:r>
              <w:rPr/>
              <w:t xml:space="preserve">ინსპექტირების თარიღ(ებ)ი — საველე ვიზიტ(ებ)ისა და დაკვირვებების ჩატარების კონკრეტული თარიღები.</w:t>
            </w:r>
          </w:p>
        </w:tc>
        <w:tc>
          <w:tcPr>
            <w:tcW w:w="3400" w:type="dxa"/>
          </w:tcPr>
          <w:p>
            <w:pPr/>
            <w:r>
              <w:rPr/>
              <w:t xml:space="preserve">ვიზიტ(ებ)ის თარიღები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(ზ)</w:t>
            </w:r>
          </w:p>
        </w:tc>
        <w:tc>
          <w:tcPr>
            <w:tcW w:w="4200" w:type="dxa"/>
          </w:tcPr>
          <w:p>
            <w:pPr/>
            <w:r>
              <w:rPr/>
              <w:t xml:space="preserve">ინსპექტირების შედეგები — გამოვლენილი მიგნებები, შესაბამისობის შეფასება დადგენილ მოთხოვნებთან და საბოლოო დასკვნა, ფოტო/ვიდეო მტკიცებულებებზე მითითებით (BE-FM-PHOTO-LOG).</w:t>
            </w:r>
          </w:p>
        </w:tc>
        <w:tc>
          <w:tcPr>
            <w:tcW w:w="3400" w:type="dxa"/>
          </w:tcPr>
          <w:p>
            <w:pPr/>
            <w:r>
              <w:rPr/>
              <w:t xml:space="preserve">მიგნებები + დასკვნა</w:t>
            </w:r>
          </w:p>
        </w:tc>
      </w:tr>
      <w:tr>
        <w:tc>
          <w:tcPr>
            <w:tcW w:w="1400" w:type="dxa"/>
          </w:tcPr>
          <w:p>
            <w:pPr/>
            <w:r>
              <w:rPr/>
              <w:t xml:space="preserve">დამატ.</w:t>
            </w:r>
          </w:p>
        </w:tc>
        <w:tc>
          <w:tcPr>
            <w:tcW w:w="4200" w:type="dxa"/>
          </w:tcPr>
          <w:p>
            <w:pPr/>
            <w:r>
              <w:rPr/>
              <w:t xml:space="preserve">უფლებამოსილი პირ(ებ)ის ხელმოწერა ან სხვა იდენტიფიკაცია — ანგარიშის გამცემი/დამამტკიცებელი პირის ხელმოწერა (კვალიფიციური ელექტრონული ხელმოწერის ჩათვლით, QM-01 §10.5).</w:t>
            </w:r>
          </w:p>
        </w:tc>
        <w:tc>
          <w:tcPr>
            <w:tcW w:w="3400" w:type="dxa"/>
          </w:tcPr>
          <w:p>
            <w:pPr/>
            <w:r>
              <w:rPr/>
              <w:t xml:space="preserve">ხელმოწერა / QES</w:t>
            </w:r>
          </w:p>
        </w:tc>
      </w:tr>
    </w:tbl>
    <w:p>
      <w:pPr/>
    </w:p>
    <w:p>
      <w:pPr>
        <w:pStyle w:val="Heading1"/>
      </w:pPr>
      <w:r>
        <w:rPr>
          <w:b/>
          <w:sz w:val="28"/>
          <w:szCs w:val="28"/>
        </w:rPr>
        <w:t xml:space="preserve">4. BE-FM-IMP-DECL — მიუკერძოებლობის დეკლარაციის სავალდებულო ველები (ISO/IEC 17020 §6.1.12, დანართი A)</w:t>
      </w:r>
    </w:p>
    <w:p>
      <w:pPr/>
      <w:r>
        <w:rPr/>
        <w:t xml:space="preserve">მიუკერძოებლობის დეკლარაცია (BE-FM-IMP-DECL) ივსება ყველა ინსპექტირებაში მონაწილე პერსონალის მიერ (ISO/IEC 17020 §6.1.12) და უზრუნველყოფს A ტიპის ორგანოს აბსოლუტური დამოუკიდებლობის დადასტურებას (დანართი A.1). ქვემოთ ავტორიტეტულად განისაზღვრება ფორმის სავალდებულო ველთა ნაკრები.</w:t>
      </w:r>
    </w:p>
    <w:tbl>
      <w:tblPr>
        <w:tblStyle w:val="TableGrid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0"/>
        <w:gridCol w:w="5400"/>
        <w:gridCol w:w="3200"/>
      </w:tblGrid>
      <w:tr>
        <w:tc>
          <w:tcPr>
            <w:tcW w:w="400" w:type="dxa"/>
            <w:shd w:val="clear" w:color="auto" w:fill="D9E2F3"/>
          </w:tcPr>
          <w:p>
            <w:pPr/>
            <w:r>
              <w:rPr>
                <w:b/>
              </w:rPr>
              <w:t xml:space="preserve">№</w:t>
            </w:r>
          </w:p>
        </w:tc>
        <w:tc>
          <w:tcPr>
            <w:tcW w:w="5400" w:type="dxa"/>
            <w:shd w:val="clear" w:color="auto" w:fill="D9E2F3"/>
          </w:tcPr>
          <w:p>
            <w:pPr/>
            <w:r>
              <w:rPr>
                <w:b/>
              </w:rPr>
              <w:t xml:space="preserve">სავალდებულო ველი BE-FM-IMP-DECL ფორმაში</w:t>
            </w:r>
          </w:p>
        </w:tc>
        <w:tc>
          <w:tcPr>
            <w:tcW w:w="3200" w:type="dxa"/>
            <w:shd w:val="clear" w:color="auto" w:fill="D9E2F3"/>
          </w:tcPr>
          <w:p>
            <w:pPr/>
            <w:r>
              <w:rPr>
                <w:b/>
              </w:rPr>
              <w:t xml:space="preserve">საფუძველი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1</w:t>
            </w:r>
          </w:p>
        </w:tc>
        <w:tc>
          <w:tcPr>
            <w:tcW w:w="5400" w:type="dxa"/>
          </w:tcPr>
          <w:p>
            <w:pPr/>
            <w:r>
              <w:rPr/>
              <w:t xml:space="preserve">დეკლარანტის ვინაობა — სახელი, გვარი, თანამდებობა და ინსპექტირების როლი (ინსპექტორი, ტექნიკური მენეჯერი, მიმომხილველი).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§6.1.12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2</w:t>
            </w:r>
          </w:p>
        </w:tc>
        <w:tc>
          <w:tcPr>
            <w:tcW w:w="5400" w:type="dxa"/>
          </w:tcPr>
          <w:p>
            <w:pPr/>
            <w:r>
              <w:rPr/>
              <w:t xml:space="preserve">საქმის/ინსპექტირების იდენტიფიკაცია, რომელთან მიმართებითაც კეთდება დეკლარაცია (კონკრეტული ან წლიური ზოგადი).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§6.1.12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3</w:t>
            </w:r>
          </w:p>
        </w:tc>
        <w:tc>
          <w:tcPr>
            <w:tcW w:w="5400" w:type="dxa"/>
          </w:tcPr>
          <w:p>
            <w:pPr/>
            <w:r>
              <w:rPr/>
              <w:t xml:space="preserve">განცხადება ინტერესთა კონფლიქტის არსებობის/არარსებობის შესახებ — ფინანსური, კომერციული, ოჯახური ან სხვა კავშირები ობიექტთან/დამკვეთთან.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§4.1.3, §4.1.4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4</w:t>
            </w:r>
          </w:p>
        </w:tc>
        <w:tc>
          <w:tcPr>
            <w:tcW w:w="5400" w:type="dxa"/>
          </w:tcPr>
          <w:p>
            <w:pPr/>
            <w:r>
              <w:rPr/>
              <w:t xml:space="preserve">A ტიპის დამოუკიდებლობის დადასტურება — განცხადება, რომ დეკლარანტი არ მონაწილეობდა ინსპექტირებული ობიექტის პროექტირებაში, წარმოებაში, მიწოდებაში, მონტაჟში, შეძენაში, ფლობაში, გამოყენებაში ან ტექნიკურ უზრუნველყოფაში.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დანართი A.1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5</w:t>
            </w:r>
          </w:p>
        </w:tc>
        <w:tc>
          <w:tcPr>
            <w:tcW w:w="5400" w:type="dxa"/>
          </w:tcPr>
          <w:p>
            <w:pPr/>
            <w:r>
              <w:rPr/>
              <w:t xml:space="preserve">წინა (ბოლო პერიოდის) საქმიანობის გამჟღავნება, რომელიც შესაძლოა ქმნიდეს მიუკერძოებლობის რისკს.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§4.1.4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6</w:t>
            </w:r>
          </w:p>
        </w:tc>
        <w:tc>
          <w:tcPr>
            <w:tcW w:w="5400" w:type="dxa"/>
          </w:tcPr>
          <w:p>
            <w:pPr/>
            <w:r>
              <w:rPr/>
              <w:t xml:space="preserve">ვალდებულება დაუყოვნებლივ შეატყობინოს ორგანოს ნებისმიერი ახლადწარმოშობილი კონფლიქტის შესახებ ინსპექტირების მიმდინარეობისას.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§4.1.5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7</w:t>
            </w:r>
          </w:p>
        </w:tc>
        <w:tc>
          <w:tcPr>
            <w:tcW w:w="5400" w:type="dxa"/>
          </w:tcPr>
          <w:p>
            <w:pPr/>
            <w:r>
              <w:rPr/>
              <w:t xml:space="preserve">კონფიდენციალურობის დაცვის ვალდებულება.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§4.2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8</w:t>
            </w:r>
          </w:p>
        </w:tc>
        <w:tc>
          <w:tcPr>
            <w:tcW w:w="5400" w:type="dxa"/>
          </w:tcPr>
          <w:p>
            <w:pPr/>
            <w:r>
              <w:rPr/>
              <w:t xml:space="preserve">ავტორიზებული სფერო(ები), რომელშიც დეკლარანტი ინიშნება.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§6.1.12</w:t>
            </w:r>
          </w:p>
        </w:tc>
      </w:tr>
      <w:tr>
        <w:tc>
          <w:tcPr>
            <w:tcW w:w="400" w:type="dxa"/>
          </w:tcPr>
          <w:p>
            <w:pPr/>
            <w:r>
              <w:rPr/>
              <w:t xml:space="preserve">9</w:t>
            </w:r>
          </w:p>
        </w:tc>
        <w:tc>
          <w:tcPr>
            <w:tcW w:w="5400" w:type="dxa"/>
          </w:tcPr>
          <w:p>
            <w:pPr/>
            <w:r>
              <w:rPr/>
              <w:t xml:space="preserve">დეკლარანტის ხელმოწერა და თარიღი; დამმტკიცებელი პირის (ხარისხის მენეჯერი) დასტური.</w:t>
            </w:r>
          </w:p>
        </w:tc>
        <w:tc>
          <w:tcPr>
            <w:tcW w:w="3200" w:type="dxa"/>
          </w:tcPr>
          <w:p>
            <w:pPr/>
            <w:r>
              <w:rPr/>
              <w:t xml:space="preserve">ISO §6.1.12</w:t>
            </w:r>
          </w:p>
        </w:tc>
      </w:tr>
    </w:tbl>
    <w:p>
      <w:pPr/>
    </w:p>
    <w:p>
      <w:pPr/>
      <w:r>
        <w:rPr>
          <w:i/>
          <w:sz w:val="16"/>
          <w:szCs w:val="16"/>
        </w:rPr>
        <w:t xml:space="preserve">კოდი: BE-FM-რეესტრი  ·  ვერსია: 2.0 / მეორე რედაქცია  ·  გამოცემის თარიღი: 04.06.2026  ·  შპს „ბილდექს ექსპერტიზა" — ISO/IEC 17020:2012/2013 (A ტიპი)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