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shd w:val="clear" w:color="auto" w:fill="1B3A5C"/>
      </w:pPr>
      <w:r>
        <w:rPr>
          <w:b/>
          <w:rFonts w:ascii="Sylfaen" w:hAnsi="Sylfaen" w:cs="Sylfaen"/>
          <w:color w:val="FFFFFF"/>
          <w:sz w:val="36"/>
          <w:szCs w:val="36"/>
        </w:rPr>
        <w:t xml:space="preserve">შპს ბილდექს ექსპერტიზა</w:t>
      </w:r>
    </w:p>
    <w:p>
      <w:pPr>
        <w:pStyle w:val="Heading2"/>
      </w:pPr>
      <w:r>
        <w:rPr>
          <w:b/>
          <w:sz w:val="26"/>
          <w:szCs w:val="26"/>
        </w:rPr>
        <w:t xml:space="preserve">ცვლილებების ჟურნალი</w:t>
      </w:r>
    </w:p>
    <w:p>
      <w:pPr/>
      <w:r>
        <w:rPr/>
        <w:t xml:space="preserve">წინამდებარე მეორე რედაქცია ასახავს დამტკიცებული აუდიტის (H ფოლდერი) შედეგებს. სათაური შეესაბამა შინაარსს (ხელმოწერის უფლების დელეგირება) და გასწორდა არარსებული ISO ბმა §9.2.</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სათაური↔შინაარსის კრიტიკული გასწორება: სათაური → „ხელმოწერის უფლების დელეგირება“</w:t>
            </w:r>
          </w:p>
        </w:tc>
        <w:tc>
          <w:tcPr>
            <w:tcW w:w="3200" w:type="dxa"/>
          </w:tcPr>
          <w:p>
            <w:pPr/>
            <w:r>
              <w:rPr/>
              <w:t xml:space="preserve">გარე სათაური იყო „დოკუმენტების მართვის სისტემის დამტკიცება“, შინაარსი კი — ხელმოწერის უფლების დელეგირება. სათაური შეესაბამა შინაარსს.</w:t>
            </w:r>
          </w:p>
        </w:tc>
        <w:tc>
          <w:tcPr>
            <w:tcW w:w="2400" w:type="dxa"/>
          </w:tcPr>
          <w:p>
            <w:pPr/>
            <w:r>
              <w:rPr/>
              <w:t xml:space="preserve">ISO/IEC 17020 §5.2.3</w:t>
            </w:r>
          </w:p>
        </w:tc>
      </w:tr>
      <w:tr>
        <w:tc>
          <w:tcPr>
            <w:tcW w:w="500" w:type="dxa"/>
          </w:tcPr>
          <w:p>
            <w:pPr/>
            <w:r>
              <w:rPr/>
              <w:t xml:space="preserve">2</w:t>
            </w:r>
          </w:p>
        </w:tc>
        <w:tc>
          <w:tcPr>
            <w:tcW w:w="3200" w:type="dxa"/>
          </w:tcPr>
          <w:p>
            <w:pPr/>
            <w:r>
              <w:rPr/>
              <w:t xml:space="preserve">ISO ბმა §9.2 → §5.2.3</w:t>
            </w:r>
          </w:p>
        </w:tc>
        <w:tc>
          <w:tcPr>
            <w:tcW w:w="3200" w:type="dxa"/>
          </w:tcPr>
          <w:p>
            <w:pPr/>
            <w:r>
              <w:rPr/>
              <w:t xml:space="preserve">ISO/IEC 17020-ში §9 საერთოდ არ არსებობს (სტანდარტი მთავრდება §8-ით); პასუხისმგებლობების დოკუმენტური განსაზღვრის სწორი საფუძველია §5.2.3.</w:t>
            </w:r>
          </w:p>
        </w:tc>
        <w:tc>
          <w:tcPr>
            <w:tcW w:w="2400" w:type="dxa"/>
          </w:tcPr>
          <w:p>
            <w:pPr/>
            <w:r>
              <w:rPr/>
              <w:t xml:space="preserve">ISO/IEC 17020 §5.2.3</w:t>
            </w:r>
          </w:p>
        </w:tc>
      </w:tr>
      <w:tr>
        <w:tc>
          <w:tcPr>
            <w:tcW w:w="500" w:type="dxa"/>
          </w:tcPr>
          <w:p>
            <w:pPr/>
            <w:r>
              <w:rPr/>
              <w:t xml:space="preserve">3</w:t>
            </w:r>
          </w:p>
        </w:tc>
        <w:tc>
          <w:tcPr>
            <w:tcW w:w="3200" w:type="dxa"/>
          </w:tcPr>
          <w:p>
            <w:pPr/>
            <w:r>
              <w:rPr/>
              <w:t xml:space="preserve">ხელმოწერის იერარქია გაიწერა — §4.1.2 / §5.1.5</w:t>
            </w:r>
          </w:p>
        </w:tc>
        <w:tc>
          <w:tcPr>
            <w:tcW w:w="3200" w:type="dxa"/>
          </w:tcPr>
          <w:p>
            <w:pPr/>
            <w:r>
              <w:rPr/>
              <w:t xml:space="preserve">უფლებამოსილების ხაზი (დირექტორი → მენეჯერები → ინსპექტორი) ცალსახად არ იყო ასახული.</w:t>
            </w:r>
          </w:p>
        </w:tc>
        <w:tc>
          <w:tcPr>
            <w:tcW w:w="2400" w:type="dxa"/>
          </w:tcPr>
          <w:p>
            <w:pPr/>
            <w:r>
              <w:rPr/>
              <w:t xml:space="preserve">ISO/IEC 17020 §4.1.2, §5.1.5; QM-01 §6.2</w:t>
            </w:r>
          </w:p>
        </w:tc>
      </w:tr>
      <w:tr>
        <w:tc>
          <w:tcPr>
            <w:tcW w:w="500" w:type="dxa"/>
          </w:tcPr>
          <w:p>
            <w:pPr/>
            <w:r>
              <w:rPr/>
              <w:t xml:space="preserve">4</w:t>
            </w:r>
          </w:p>
        </w:tc>
        <w:tc>
          <w:tcPr>
            <w:tcW w:w="3200" w:type="dxa"/>
          </w:tcPr>
          <w:p>
            <w:pPr/>
            <w:r>
              <w:rPr/>
              <w:t xml:space="preserve">კოდები FM-XX → BE-FM-XX</w:t>
            </w:r>
          </w:p>
        </w:tc>
        <w:tc>
          <w:tcPr>
            <w:tcW w:w="3200" w:type="dxa"/>
          </w:tcPr>
          <w:p>
            <w:pPr/>
            <w:r>
              <w:rPr/>
              <w:t xml:space="preserve">ფორმების კოდირება არ შეესაბამებოდა QM-01-ის ერთიან კოდირებას.</w:t>
            </w:r>
          </w:p>
        </w:tc>
        <w:tc>
          <w:tcPr>
            <w:tcW w:w="2400" w:type="dxa"/>
          </w:tcPr>
          <w:p>
            <w:pPr/>
            <w:r>
              <w:rPr/>
              <w:t xml:space="preserve">QM-01 §9; ISO/IEC 17020 §8.3</w:t>
            </w:r>
          </w:p>
        </w:tc>
      </w:tr>
      <w:tr>
        <w:tc>
          <w:tcPr>
            <w:tcW w:w="500" w:type="dxa"/>
          </w:tcPr>
          <w:p>
            <w:pPr/>
            <w:r>
              <w:rPr/>
              <w:t xml:space="preserve">5</w:t>
            </w:r>
          </w:p>
        </w:tc>
        <w:tc>
          <w:tcPr>
            <w:tcW w:w="3200" w:type="dxa"/>
          </w:tcPr>
          <w:p>
            <w:pPr/>
            <w:r>
              <w:rPr/>
              <w:t xml:space="preserve">ელფოსტა → buildexexpertise@gmail.com; ვერსია/თარიღი → 2.0, 04.06.2026</w:t>
            </w:r>
          </w:p>
        </w:tc>
        <w:tc>
          <w:tcPr>
            <w:tcW w:w="3200" w:type="dxa"/>
          </w:tcPr>
          <w:p>
            <w:pPr/>
            <w:r>
              <w:rPr/>
              <w:t xml:space="preserve">არასწორი ელფოსტა და QM-01-ს დროით დაუსწრებელი თარიღი.</w:t>
            </w:r>
          </w:p>
        </w:tc>
        <w:tc>
          <w:tcPr>
            <w:tcW w:w="2400" w:type="dxa"/>
          </w:tcPr>
          <w:p>
            <w:pPr/>
            <w:r>
              <w:rPr/>
              <w:t xml:space="preserve">ISO/IEC 17020 §5.2.3, §8.3; QM-01 v2.0</w:t>
            </w:r>
          </w:p>
        </w:tc>
      </w:tr>
      <w:tr>
        <w:tc>
          <w:tcPr>
            <w:tcW w:w="450" w:type="dxa"/>
          </w:tcPr>
          <w:p>
            <w:pPr/>
            <w:r>
              <w:rPr/>
              <w:t xml:space="preserve">6</w:t>
            </w:r>
          </w:p>
        </w:tc>
        <w:tc>
          <w:tcPr>
            <w:tcW w:w="3200" w:type="dxa"/>
          </w:tcPr>
          <w:p>
            <w:pPr/>
            <w:r>
              <w:rPr/>
              <w:t xml:space="preserve">თარიღის სტრიქონში გაორმაგებული „:2012/2013:2012/2013“ → ერთიანი „ISO/IEC 17020:2012/2013“.</w:t>
            </w:r>
          </w:p>
        </w:tc>
        <w:tc>
          <w:tcPr>
            <w:tcW w:w="3200" w:type="dxa"/>
          </w:tcPr>
          <w:p>
            <w:pPr/>
            <w:r>
              <w:rPr/>
              <w:t xml:space="preserve">ავტომატური ჩანაცვლების ნაშთი.</w:t>
            </w:r>
          </w:p>
        </w:tc>
        <w:tc>
          <w:tcPr>
            <w:tcW w:w="2400" w:type="dxa"/>
          </w:tcPr>
          <w:p>
            <w:pPr/>
            <w:r>
              <w:rPr/>
              <w:t xml:space="preserve">ISO/IEC 17020 §8.3</w:t>
            </w:r>
          </w:p>
        </w:tc>
      </w:tr>
    </w:tbl>
    <w:p>
      <w:pPr/>
    </w:p>
    <w:p>
      <w:pPr>
        <w:jc w:val="center"/>
        <w:spacing w:before="0" w:after="200"/>
        <w:shd w:val="clear" w:color="auto" w:fill="2E75B6"/>
      </w:pPr>
      <w:r>
        <w:rPr>
          <w:rFonts w:ascii="Sylfaen" w:hAnsi="Sylfaen" w:cs="Sylfaen"/>
          <w:color w:val="FFFFFF"/>
          <w:sz w:val="18"/>
          <w:szCs w:val="18"/>
        </w:rPr>
        <w:t xml:space="preserve">ს/კ 431188010  |  ქ. თელავი, ლიონიძის ქ. 22  |  buildexexpertise@gmail.com</w:t>
      </w:r>
    </w:p>
    <w:p>
      <w:pPr>
        <w:jc w:val="center"/>
        <w:spacing w:before="0" w:after="100"/>
      </w:pPr>
    </w:p>
    <w:p>
      <w:pPr>
        <w:jc w:val="center"/>
        <w:spacing w:before="0" w:after="100"/>
      </w:pPr>
    </w:p>
    <w:p>
      <w:pPr>
        <w:jc w:val="center"/>
        <w:spacing w:before="0" w:after="100"/>
      </w:pPr>
    </w:p>
    <w:p>
      <w:pPr>
        <w:jc w:val="center"/>
        <w:spacing w:before="2880" w:after="720"/>
      </w:pPr>
      <w:r>
        <w:drawing>
          <wp:inline distT="0" distB="0" distL="0" distR="0">
            <wp:extent cx="1440000" cy="1257600"/>
            <wp:effectExtent l="0" t="0" r="0" b="0"/>
            <wp:docPr id="200" name="Cov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verLogo"/>
                    <pic:cNvPicPr>
                      <a:picLocks noChangeAspect="1"/>
                    </pic:cNvPicPr>
                  </pic:nvPicPr>
                  <pic:blipFill>
                    <a:blip r:embed="rIdCoverLogo"/>
                    <a:stretch>
                      <a:fillRect/>
                    </a:stretch>
                  </pic:blipFill>
                  <pic:spPr>
                    <a:xfrm>
                      <a:off x="0" y="0"/>
                      <a:ext cx="1440000" cy="1257600"/>
                    </a:xfrm>
                    <a:prstGeom prst="rect">
                      <a:avLst/>
                    </a:prstGeom>
                  </pic:spPr>
                </pic:pic>
              </a:graphicData>
            </a:graphic>
          </wp:inline>
        </w:drawing>
      </w:r>
    </w:p>
    <w:p>
      <w:pPr>
        <w:jc w:val="center"/>
        <w:spacing w:before="0" w:after="100"/>
      </w:pPr>
    </w:p>
    <w:p>
      <w:pPr>
        <w:jc w:val="center"/>
        <w:spacing w:before="0" w:after="100"/>
      </w:pPr>
    </w:p>
    <w:p>
      <w:pPr>
        <w:jc w:val="center"/>
        <w:spacing w:before="100" w:after="100"/>
      </w:pPr>
      <w:r>
        <w:rPr>
          <w:b/>
          <w:rFonts w:ascii="Sylfaen" w:hAnsi="Sylfaen" w:cs="Sylfaen"/>
          <w:color w:val="1B3A5C"/>
          <w:sz w:val="44"/>
          <w:szCs w:val="44"/>
        </w:rPr>
        <w:t xml:space="preserve">ხელმოწერის უფლების დელეგირება</w:t>
      </w:r>
    </w:p>
    <w:p>
      <w:pPr>
        <w:jc w:val="center"/>
        <w:spacing w:before="40" w:after="80"/>
      </w:pPr>
      <w:r>
        <w:rPr>
          <w:b/>
          <w:rFonts w:ascii="Sylfaen" w:hAnsi="Sylfaen" w:cs="Sylfaen"/>
          <w:color w:val="2E75B6"/>
          <w:sz w:val="64"/>
          <w:szCs w:val="64"/>
        </w:rPr>
        <w:t xml:space="preserve">ORD-04</w:t>
      </w:r>
    </w:p>
    <w:p>
      <w:pPr>
        <w:jc w:val="center"/>
        <w:spacing w:before="0" w:after="120"/>
      </w:pPr>
      <w:r>
        <w:rPr>
          <w:rFonts w:ascii="Sylfaen" w:hAnsi="Sylfaen" w:cs="Sylfaen"/>
          <w:color w:val="1B3A5C"/>
          <w:sz w:val="20"/>
          <w:szCs w:val="20"/>
        </w:rPr>
        <w:t xml:space="preserve">ბრძანება | სსტ ISO/IEC 17020:2012/2013 §5.2.3</w:t>
      </w:r>
    </w:p>
    <w:p>
      <w:pPr>
        <w:pBdr>
          <w:bottom w:val="single" w:sz="8" w:space="1" w:color="2E75B6"/>
        </w:pBdr>
        <w:spacing w:before="200" w:after="200"/>
      </w:pPr>
    </w:p>
    <w:tbl>
      <w:tblPr>
        <w:tblW w:w="9000" w:type="dxa"/>
        <w:tblBorders>
          <w:top w:val="single" w:sz="4" w:color="1B3A5C"/>
          <w:left w:val="single" w:sz="4" w:color="1B3A5C"/>
          <w:bottom w:val="single" w:sz="4" w:color="1B3A5C"/>
          <w:right w:val="single" w:sz="4" w:color="1B3A5C"/>
          <w:insideH w:val="single" w:sz="4" w:color="1B3A5C"/>
          <w:insideV w:val="single" w:sz="4" w:color="1B3A5C"/>
        </w:tblBorders>
        <w:tblCellMar>
          <w:top w:w="80" w:type="dxa"/>
          <w:left w:w="160" w:type="dxa"/>
          <w:bottom w:w="80" w:type="dxa"/>
          <w:right w:w="160" w:type="dxa"/>
        </w:tblCellMar>
      </w:tblPr>
      <w:tr>
        <w:tc>
          <w:tcPr>
            <w:tcW w:w="3600" w:type="dxa"/>
            <w:shd w:val="clear" w:color="auto" w:fill="EBF3FA"/>
          </w:tcPr>
          <w:p>
            <w:pPr>
              <w:jc w:val="left"/>
            </w:pPr>
            <w:r>
              <w:rPr>
                <w:b/>
                <w:rFonts w:ascii="Sylfaen" w:hAnsi="Sylfaen" w:cs="Sylfaen"/>
                <w:color w:val="1B3A5C"/>
                <w:sz w:val="18"/>
                <w:szCs w:val="18"/>
              </w:rPr>
              <w:t xml:space="preserve">იურიდიული პირი:</w:t>
            </w:r>
          </w:p>
        </w:tc>
        <w:tc>
          <w:tcPr>
            <w:tcW w:w="5400" w:type="dxa"/>
          </w:tcPr>
          <w:p>
            <w:pPr>
              <w:jc w:val="left"/>
            </w:pPr>
            <w:r>
              <w:rPr>
                <w:rFonts w:ascii="Sylfaen" w:hAnsi="Sylfaen" w:cs="Sylfaen"/>
                <w:color w:val="1B3A5C"/>
                <w:sz w:val="18"/>
                <w:szCs w:val="18"/>
              </w:rPr>
              <w:t xml:space="preserve">შპს "ბილდექს ექსპერტიზა"</w:t>
            </w:r>
          </w:p>
        </w:tc>
      </w:tr>
      <w:tr>
        <w:tc>
          <w:tcPr>
            <w:tcW w:w="3600" w:type="dxa"/>
            <w:shd w:val="clear" w:color="auto" w:fill="EBF3FA"/>
          </w:tcPr>
          <w:p>
            <w:pPr>
              <w:jc w:val="left"/>
            </w:pPr>
            <w:r>
              <w:rPr>
                <w:b/>
                <w:rFonts w:ascii="Sylfaen" w:hAnsi="Sylfaen" w:cs="Sylfaen"/>
                <w:color w:val="1B3A5C"/>
                <w:sz w:val="18"/>
                <w:szCs w:val="18"/>
              </w:rPr>
              <w:t xml:space="preserve">საიდ. კოდი:</w:t>
            </w:r>
          </w:p>
        </w:tc>
        <w:tc>
          <w:tcPr>
            <w:tcW w:w="5400" w:type="dxa"/>
          </w:tcPr>
          <w:p>
            <w:pPr>
              <w:jc w:val="left"/>
            </w:pPr>
            <w:r>
              <w:rPr>
                <w:rFonts w:ascii="Sylfaen" w:hAnsi="Sylfaen" w:cs="Sylfaen"/>
                <w:color w:val="1B3A5C"/>
                <w:sz w:val="18"/>
                <w:szCs w:val="18"/>
              </w:rPr>
              <w:t xml:space="preserve">431188010</w:t>
            </w:r>
          </w:p>
        </w:tc>
      </w:tr>
      <w:tr>
        <w:tc>
          <w:tcPr>
            <w:tcW w:w="3600" w:type="dxa"/>
            <w:shd w:val="clear" w:color="auto" w:fill="EBF3FA"/>
          </w:tcPr>
          <w:p>
            <w:pPr>
              <w:jc w:val="left"/>
            </w:pPr>
            <w:r>
              <w:rPr>
                <w:b/>
                <w:rFonts w:ascii="Sylfaen" w:hAnsi="Sylfaen" w:cs="Sylfaen"/>
                <w:color w:val="1B3A5C"/>
                <w:sz w:val="18"/>
                <w:szCs w:val="18"/>
              </w:rPr>
              <w:t xml:space="preserve">მისამართი:</w:t>
            </w:r>
          </w:p>
        </w:tc>
        <w:tc>
          <w:tcPr>
            <w:tcW w:w="5400" w:type="dxa"/>
          </w:tcPr>
          <w:p>
            <w:pPr>
              <w:jc w:val="left"/>
            </w:pPr>
            <w:r>
              <w:rPr>
                <w:rFonts w:ascii="Sylfaen" w:hAnsi="Sylfaen" w:cs="Sylfaen"/>
                <w:color w:val="1B3A5C"/>
                <w:sz w:val="18"/>
                <w:szCs w:val="18"/>
              </w:rPr>
              <w:t xml:space="preserve">ქ. თელავი, ლიონიძის ქ. 22</w:t>
            </w:r>
          </w:p>
        </w:tc>
      </w:tr>
      <w:tr>
        <w:tc>
          <w:tcPr>
            <w:tcW w:w="3600" w:type="dxa"/>
            <w:shd w:val="clear" w:color="auto" w:fill="EBF3FA"/>
          </w:tcPr>
          <w:p>
            <w:pPr>
              <w:jc w:val="left"/>
            </w:pPr>
            <w:r>
              <w:rPr>
                <w:b/>
                <w:rFonts w:ascii="Sylfaen" w:hAnsi="Sylfaen" w:cs="Sylfaen"/>
                <w:color w:val="1B3A5C"/>
                <w:sz w:val="18"/>
                <w:szCs w:val="18"/>
              </w:rPr>
              <w:t xml:space="preserve">ელ-ფოსტა:</w:t>
            </w:r>
          </w:p>
        </w:tc>
        <w:tc>
          <w:tcPr>
            <w:tcW w:w="5400" w:type="dxa"/>
          </w:tcPr>
          <w:p>
            <w:pPr>
              <w:jc w:val="left"/>
            </w:pPr>
            <w:r>
              <w:rPr>
                <w:rFonts w:ascii="Sylfaen" w:hAnsi="Sylfaen" w:cs="Sylfaen"/>
                <w:color w:val="1B3A5C"/>
                <w:sz w:val="18"/>
                <w:szCs w:val="18"/>
              </w:rPr>
              <w:t xml:space="preserve">buildexexpertise@gmail.com</w:t>
            </w:r>
          </w:p>
        </w:tc>
      </w:tr>
      <w:tr>
        <w:tc>
          <w:tcPr>
            <w:tcW w:w="3600" w:type="dxa"/>
            <w:shd w:val="clear" w:color="auto" w:fill="EBF3FA"/>
          </w:tcPr>
          <w:p>
            <w:pPr>
              <w:jc w:val="left"/>
            </w:pPr>
            <w:r>
              <w:rPr>
                <w:b/>
                <w:rFonts w:ascii="Sylfaen" w:hAnsi="Sylfaen" w:cs="Sylfaen"/>
                <w:color w:val="1B3A5C"/>
                <w:sz w:val="18"/>
                <w:szCs w:val="18"/>
              </w:rPr>
              <w:t xml:space="preserve">ტელეფონი:</w:t>
            </w:r>
          </w:p>
        </w:tc>
        <w:tc>
          <w:tcPr>
            <w:tcW w:w="5400" w:type="dxa"/>
          </w:tcPr>
          <w:p>
            <w:pPr>
              <w:jc w:val="left"/>
            </w:pPr>
            <w:r>
              <w:rPr>
                <w:rFonts w:ascii="Sylfaen" w:hAnsi="Sylfaen" w:cs="Sylfaen"/>
                <w:color w:val="1B3A5C"/>
                <w:sz w:val="18"/>
                <w:szCs w:val="18"/>
              </w:rPr>
              <w:t xml:space="preserve">+995 511 747 400</w:t>
            </w:r>
          </w:p>
        </w:tc>
      </w:tr>
      <w:tr>
        <w:tc>
          <w:tcPr>
            <w:tcW w:w="3600" w:type="dxa"/>
            <w:shd w:val="clear" w:color="auto" w:fill="EBF3FA"/>
          </w:tcPr>
          <w:p>
            <w:pPr>
              <w:jc w:val="left"/>
            </w:pPr>
            <w:r>
              <w:rPr>
                <w:b/>
                <w:rFonts w:ascii="Sylfaen" w:hAnsi="Sylfaen" w:cs="Sylfaen"/>
                <w:color w:val="1B3A5C"/>
                <w:sz w:val="18"/>
                <w:szCs w:val="18"/>
              </w:rPr>
              <w:t xml:space="preserve">ორგ. ტიპი:</w:t>
            </w:r>
          </w:p>
        </w:tc>
        <w:tc>
          <w:tcPr>
            <w:tcW w:w="5400" w:type="dxa"/>
          </w:tcPr>
          <w:p>
            <w:pPr>
              <w:jc w:val="left"/>
            </w:pPr>
            <w:r>
              <w:rPr>
                <w:rFonts w:ascii="Sylfaen" w:hAnsi="Sylfaen" w:cs="Sylfaen"/>
                <w:color w:val="1B3A5C"/>
                <w:sz w:val="18"/>
                <w:szCs w:val="18"/>
              </w:rPr>
              <w:t xml:space="preserve">A ტ. — სსტ ISO/IEC 17020:2012/2013</w:t>
            </w:r>
          </w:p>
        </w:tc>
      </w:tr>
      <w:tr>
        <w:tc>
          <w:tcPr>
            <w:tcW w:w="3600" w:type="dxa"/>
            <w:shd w:val="clear" w:color="auto" w:fill="EBF3FA"/>
          </w:tcPr>
          <w:p>
            <w:pPr>
              <w:jc w:val="left"/>
            </w:pPr>
            <w:r>
              <w:rPr>
                <w:b/>
                <w:rFonts w:ascii="Sylfaen" w:hAnsi="Sylfaen" w:cs="Sylfaen"/>
                <w:color w:val="1B3A5C"/>
                <w:sz w:val="18"/>
                <w:szCs w:val="18"/>
              </w:rPr>
              <w:t xml:space="preserve">შედგ.:</w:t>
            </w:r>
          </w:p>
        </w:tc>
        <w:tc>
          <w:tcPr>
            <w:tcW w:w="5400" w:type="dxa"/>
          </w:tcPr>
          <w:p>
            <w:pPr>
              <w:jc w:val="left"/>
            </w:pPr>
            <w:r>
              <w:rPr>
                <w:rFonts w:ascii="Sylfaen" w:hAnsi="Sylfaen" w:cs="Sylfaen"/>
                <w:color w:val="1B3A5C"/>
                <w:sz w:val="18"/>
                <w:szCs w:val="18"/>
              </w:rPr>
              <w:t xml:space="preserve">ხარისხის მენეჯერი</w:t>
            </w:r>
          </w:p>
        </w:tc>
      </w:tr>
      <w:tr>
        <w:tc>
          <w:tcPr>
            <w:tcW w:w="3600" w:type="dxa"/>
            <w:shd w:val="clear" w:color="auto" w:fill="EBF3FA"/>
          </w:tcPr>
          <w:p>
            <w:pPr>
              <w:jc w:val="left"/>
            </w:pPr>
            <w:r>
              <w:rPr>
                <w:b/>
                <w:rFonts w:ascii="Sylfaen" w:hAnsi="Sylfaen" w:cs="Sylfaen"/>
                <w:color w:val="1B3A5C"/>
                <w:sz w:val="18"/>
                <w:szCs w:val="18"/>
              </w:rPr>
              <w:t xml:space="preserve">დამტ.:</w:t>
            </w:r>
          </w:p>
        </w:tc>
        <w:tc>
          <w:tcPr>
            <w:tcW w:w="5400" w:type="dxa"/>
          </w:tcPr>
          <w:p>
            <w:pPr>
              <w:jc w:val="left"/>
            </w:pPr>
            <w:r>
              <w:rPr>
                <w:rFonts w:ascii="Sylfaen" w:hAnsi="Sylfaen" w:cs="Sylfaen"/>
                <w:color w:val="1B3A5C"/>
                <w:sz w:val="18"/>
                <w:szCs w:val="18"/>
              </w:rPr>
              <w:t xml:space="preserve">დირექტორი</w:t>
            </w:r>
          </w:p>
        </w:tc>
      </w:tr>
    </w:tbl>
    <w:p>
      <w:pPr>
        <w:jc w:val="center"/>
        <w:spacing w:before="120" w:after="0"/>
      </w:pPr>
    </w:p>
    <w:p>
      <w:pPr>
        <w:jc w:val="center"/>
        <w:spacing w:before="0" w:after="60"/>
      </w:pPr>
      <w:r>
        <w:rPr>
          <w:rFonts w:ascii="Sylfaen" w:hAnsi="Sylfaen" w:cs="Sylfaen"/>
          <w:color w:val="1B3A5C"/>
          <w:sz w:val="18"/>
          <w:szCs w:val="18"/>
        </w:rPr>
        <w:t xml:space="preserve">ვერსია: 2.0 | მეორე რედაქცია | 04.06.2026</w:t>
      </w:r>
    </w:p>
    <w:p>
      <w:pPr>
        <w:pBdr>
          <w:bottom w:val="single" w:sz="8" w:space="1" w:color="2E75B6"/>
        </w:pBdr>
        <w:spacing w:before="200" w:after="200"/>
      </w:pPr>
    </w:p>
    <w:p>
      <w:pPr>
        <w:jc w:val="center"/>
        <w:spacing w:before="40" w:after="40"/>
      </w:pPr>
      <w:r>
        <w:rPr>
          <w:i/>
          <w:rFonts w:ascii="Sylfaen" w:hAnsi="Sylfaen" w:cs="Sylfaen"/>
          <w:color w:val="808080"/>
          <w:sz w:val="18"/>
          <w:szCs w:val="18"/>
        </w:rPr>
        <w:t xml:space="preserve">კ ო ნ ფ ი დ ე ნ ც ი ა ლ უ რ ი — მხოლოდ შიდა გამოყენებისთვის</w:t>
      </w:r>
    </w:p>
    <w:p>
      <w:r>
        <w:br w:type="page"/>
      </w:r>
    </w:p>
    <w:p>
      <w:pPr>
        <w:jc w:val="center"/>
        <w:shd w:val="clear" w:color="auto" w:fill="1B3A5C"/>
        <w:spacing w:before="120" w:after="120"/>
      </w:pPr>
      <w:r>
        <w:rPr>
          <w:rFonts w:ascii="Sylfaen" w:hAnsi="Sylfaen"/>
          <w:sz w:val="28"/>
          <w:b/>
          <w:color w:val="FFFFFF"/>
        </w:rPr>
        <w:t xml:space="preserve">შპს ბილდექს ექსპერტიზა</w:t>
      </w:r>
    </w:p>
    <w:p>
      <w:pPr>
        <w:jc w:val="center"/>
        <w:shd w:val="clear" w:color="auto" w:fill="2E75B6"/>
        <w:spacing w:before="120" w:after="120"/>
      </w:pPr>
      <w:r>
        <w:rPr>
          <w:rFonts w:ascii="Sylfaen" w:hAnsi="Sylfaen"/>
          <w:sz w:val="20"/>
          <w:color w:val="FFFFFF"/>
        </w:rPr>
        <w:t xml:space="preserve">ს/კ 431188010 | ქ. თელავი, ლიონიძის ქ. 22 | buildexexpertise@gmail.com</w:t>
      </w:r>
    </w:p>
    <w:p>
      <w:pPr>
        <w:jc w:val="center"/>
        <w:spacing w:before="600" w:after="0"/>
      </w:pPr>
    </w:p>
    <w:p>
      <w:pPr>
        <w:jc w:val="center"/>
        <w:spacing w:before="0" w:after="80"/>
      </w:pPr>
      <w:r>
        <w:rPr>
          <w:rFonts w:ascii="Sylfaen" w:hAnsi="Sylfaen"/>
          <w:sz w:val="22"/>
          <w:color w:val="2E75B6"/>
        </w:rPr>
        <w:t xml:space="preserve">ᲑᲠᲫᲐᲜᲔᲑᲐ</w:t>
      </w:r>
    </w:p>
    <w:p>
      <w:pPr>
        <w:jc w:val="center"/>
        <w:spacing w:before="0" w:after="160"/>
      </w:pPr>
      <w:r>
        <w:rPr>
          <w:rFonts w:ascii="Sylfaen" w:hAnsi="Sylfaen"/>
          <w:sz w:val="48"/>
          <w:b/>
          <w:color w:val="1B3A5C"/>
        </w:rPr>
        <w:t xml:space="preserve">ORD-04</w:t>
      </w:r>
    </w:p>
    <w:p>
      <w:pPr>
        <w:pBdr>
          <w:bottom w:val="single" w:sz="18" w:color="2E75B6"/>
        </w:pBdr>
        <w:spacing w:before="0" w:after="0"/>
      </w:pPr>
    </w:p>
    <w:p>
      <w:pPr>
        <w:jc w:val="center"/>
        <w:spacing w:before="200" w:after="0"/>
      </w:pPr>
    </w:p>
    <w:p>
      <w:pPr>
        <w:jc w:val="center"/>
        <w:spacing w:before="0" w:after="400"/>
      </w:pPr>
      <w:r>
        <w:rPr>
          <w:rFonts w:ascii="Sylfaen" w:hAnsi="Sylfaen"/>
          <w:sz w:val="32"/>
          <w:b/>
          <w:color w:val="1B3A5C"/>
        </w:rPr>
        <w:t xml:space="preserve">ხელმოწერის უფლების დელეგირება</w:t>
      </w:r>
    </w:p>
    <w:p>
      <w:pPr>
        <w:jc w:val="center"/>
        <w:spacing w:before="400" w:after="0"/>
      </w:pPr>
    </w:p>
    <w:p>
      <w:pPr>
        <w:jc w:val="center"/>
        <w:spacing w:before="0" w:after="80"/>
      </w:pPr>
      <w:r>
        <w:rPr>
          <w:rFonts w:ascii="Sylfaen" w:hAnsi="Sylfaen"/>
          <w:sz w:val="20"/>
          <w:color w:val="555555"/>
        </w:rPr>
        <w:t xml:space="preserve">ვერსია: 2.0 | მეორე რედაქცია | თარიღი: 04.06.2026 | სტატუსი: მოქმედი</w:t>
      </w:r>
    </w:p>
    <w:p>
      <w:pPr>
        <w:jc w:val="center"/>
        <w:spacing w:before="0" w:after="80"/>
      </w:pPr>
      <w:r>
        <w:rPr>
          <w:rFonts w:ascii="Sylfaen" w:hAnsi="Sylfaen"/>
          <w:sz w:val="20"/>
          <w:color w:val="2E75B6"/>
        </w:rPr>
        <w:t xml:space="preserve">სსტ ისო/იეკ 17020:2012/2013 — A ტიპის ინსპექტირების ორგანო</w:t>
      </w:r>
    </w:p>
    <w:p>
      <w:pPr>
        <w:jc w:val="center"/>
        <w:spacing w:before="0" w:after="400"/>
      </w:pPr>
      <w:r>
        <w:rPr>
          <w:rFonts w:ascii="Sylfaen" w:hAnsi="Sylfaen"/>
          <w:sz w:val="20"/>
          <w:color w:val="555555"/>
        </w:rPr>
        <w:t xml:space="preserve">საქართველოს აკრედიტაციის ეროვნული ცენტრი (GAC)</w:t>
      </w:r>
    </w:p>
    <w:p>
      <w:pPr>
        <w:jc w:val="center"/>
        <w:spacing w:before="400" w:after="0"/>
      </w:pPr>
    </w:p>
    <w:p>
      <w:pPr>
        <w:pBdr>
          <w:bottom w:val="single" w:sz="18" w:color="2E75B6"/>
        </w:pBdr>
        <w:spacing w:before="0" w:after="0"/>
      </w:pPr>
    </w:p>
    <w:p>
      <w:pPr>
        <w:jc w:val="center"/>
        <w:spacing w:before="80" w:after="80"/>
      </w:pPr>
      <w:r>
        <w:rPr>
          <w:rFonts w:ascii="Sylfaen" w:hAnsi="Sylfaen"/>
          <w:sz w:val="18"/>
          <w:color w:val="888888"/>
        </w:rPr>
        <w:t xml:space="preserve">კონფიდენციალური — მხოლოდ შიდა გამოყენებისთვის</w:t>
      </w:r>
    </w:p>
    <w:p>
      <w:r>
        <w:br w:type="page"/>
      </w:r>
    </w:p>
    <w:p>
      <w:pPr>
        <w:jc w:val="center"/>
      </w:pPr>
      <w:r>
        <w:rPr>
          <w:b/>
          <w:sz w:val="28"/>
        </w:rPr>
        <w:t>შპს „ბილდექს ექსპერტიზა”</w:t>
      </w:r>
    </w:p>
    <w:p>
      <w:pPr>
        <w:jc w:val="center"/>
      </w:pPr>
      <w:r>
        <w:rPr>
          <w:sz w:val="20"/>
        </w:rPr>
        <w:t>ს/კ 431188010 | ქ. თელავი, ლიონიძის ქ. 22</w:t>
      </w:r>
    </w:p>
    <w:p/>
    <w:tbl>
      <w:tblPr>
        <w:tblStyle w:val="TableGrid"/>
        <w:tblW w:w="9016" w:type="dxa"/>
        <w:tblBorders>
          <w:top w:val="none" w:sz="0" w:color="auto"/>
          <w:left w:val="thick" w:sz="24" w:color="1B4F72"/>
          <w:bottom w:val="none" w:sz="0" w:color="auto"/>
          <w:right w:val="none" w:sz="0" w:color="auto"/>
          <w:insideH w:val="none" w:sz="0" w:color="auto"/>
          <w:insideV w:val="none" w:sz="0" w:color="auto"/>
        </w:tblBorders>
        <w:shd w:val="clear" w:color="auto" w:fill="EBF5FB"/>
      </w:tblPr>
      <w:tr>
        <w:tc>
          <w:tcPr>
            <w:tcW w:w="9016" w:type="dxa"/>
            <w:shd w:val="clear" w:color="auto" w:fill="EBF5FB"/>
          </w:tcPr>
          <w:p>
            <w:pPr>
              <w:pStyle w:val="Normal"/>
              <w:spacing w:before="80" w:after="80"/>
              <w:ind w:left="180"/>
            </w:pPr>
            <w:r>
              <w:rPr>
                <w:rFonts w:ascii="Sylfaen" w:hAnsi="Sylfaen"/>
                <w:sz w:val="20"/>
                <w:color w:val="1A3A5C"/>
              </w:rPr>
              <w:t xml:space="preserve">📋  რა არის ეს ბრძანება:
ხელმოწერის უფლების დელეგირების ბრძანება — ადმინისტრაციული დოკუმენტი, რომელიც ცალსახად განსაზღვრავს, თუ ვინ არის უფლებამოსილი ხელი მოაწეროს ხელშეკრულებებს, ინსპექტირების ანგარიშებს, ბრძანებებს, ტექნიკურ და ხარისხის დოკუმენტებს, აგრეთვე ფინანსური ოპერაციების ავტორიზაციის ზღვრებს. ეს უზრუნველყოფს პასუხისმგებლობებისა და უფლებამოსილების ხაზის მკაფიო დოკუმენტურ განსაზღვრას (ISO §5.2.3, §4.1.2, §5.1.5).</w:t>
            </w:r>
          </w:p>
        </w:tc>
      </w:tr>
    </w:tbl>
    <w:p/>
    <w:p>
      <w:pPr>
        <w:jc w:val="center"/>
      </w:pPr>
      <w:r>
        <w:rPr>
          <w:b/>
          <w:sz w:val="32"/>
        </w:rPr>
        <w:t>ბრძანება № ORD-04_v2_2026</w:t>
      </w:r>
    </w:p>
    <w:p>
      <w:pPr>
        <w:jc w:val="center"/>
      </w:pPr>
      <w:r>
        <w:rPr>
          <w:b/>
          <w:sz w:val="26"/>
        </w:rPr>
        <w:t>ხელმოწერის უფლების დელეგირების შესახებ</w:t>
      </w:r>
    </w:p>
    <w:p>
      <w:pPr>
        <w:jc w:val="right"/>
      </w:pPr>
      <w:r>
        <w:rPr>
          <w:sz w:val="20"/>
        </w:rPr>
        <w:t xml:space="preserve">ქ. თელავი | 2026 წლის 4 ივნისი (განახლება სსტ ისო/იეკ 17020:2012/2013-ისთვის)</w:t>
      </w:r>
    </w:p>
    <w:p/>
    <w:p>
      <w:r>
        <w:rPr>
          <w:rFonts w:ascii="Sylfaen" w:hAnsi="Sylfaen"/>
          <w:b w:val="0"/>
          <w:i w:val="0"/>
          <w:sz w:val="22"/>
        </w:rPr>
        <w:t xml:space="preserve">შპს „ბილდექს ექსპერტიზა”-ს ფუნქციონირების მუდმივი უზრუნველყოფის და სსტ ისო/იეკ 17020:2012/2013 (ინსპექტირების ორგანოების კომპეტენციისა და სანდოობის საერთაშორისო სტანდარტი)/2013 მუხლი 5.2.3-ის (პასუხისმგებლობების დოკუმენტური განსაზღვრა), მუხლი 4.1.2-ის (უმაღლესი მენეჯმენტის პასუხისმგებლობა და უფლებამოსილების ხაზი), მუხლი 5.1.5-ის (პერსონალის უფლებამოსილება) და მუხლი 7.6.2.f-ის საფუძველზე,</w:t>
      </w:r>
    </w:p>
    <w:p>
      <w:r>
        <w:rPr>
          <w:rFonts w:ascii="Sylfaen" w:hAnsi="Sylfaen"/>
          <w:b w:val="0"/>
          <w:i w:val="0"/>
          <w:sz w:val="22"/>
        </w:rPr>
      </w:r>
    </w:p>
    <w:p>
      <w:pPr>
        <w:jc w:val="center"/>
      </w:pPr>
      <w:r>
        <w:rPr>
          <w:rFonts w:ascii="Sylfaen" w:hAnsi="Sylfaen"/>
          <w:b/>
          <w:i w:val="0"/>
          <w:sz w:val="22"/>
        </w:rPr>
        <w:t>ვ ბ რ ძ ა ნ ე ბ:</w:t>
      </w:r>
    </w:p>
    <w:p>
      <w:pPr>
        <w:pStyle w:val="ListNumber"/>
      </w:pPr>
      <w:r>
        <w:rPr>
          <w:rFonts w:ascii="Sylfaen" w:hAnsi="Sylfaen"/>
          <w:sz w:val="22"/>
        </w:rPr>
        <w:t>ხელშეკრულების ხელმოწერის უფლება — დირექტორი ლევან საჩიშვილი (ძირითადი); დირექტორის არყოფნის შემთხვევაში — აღმასრულებელი დირექტორი ალექსანდრე სუმბაძე (მხოლოდ ხელშეკრულებები 50,000 ლარამდე).</w:t>
      </w:r>
    </w:p>
    <w:p>
      <w:pPr>
        <w:pStyle w:val="ListNumber"/>
      </w:pPr>
      <w:r>
        <w:rPr>
          <w:rFonts w:ascii="Sylfaen" w:hAnsi="Sylfaen"/>
          <w:sz w:val="22"/>
        </w:rPr>
        <w:t xml:space="preserve">ინსპექტირების ანგარიშის (დასკვნის) ხელმოწერის უფლება — დირექტორი ლევან საჩიშვილი (ძირითადი); დირექტორის არყოფნის შემთხვევაში ანგარიში ხელმოწერისთვის დაბრუნდება დირექტორთან — დასკვნის ხელმოწერა არ დელეგირდება (ISO §7.6.2.f, §5.1.5). უფლებამოსილების იერარქია: დირექტორი → ხარისხის მენეჯერი / ტექნიკური მენეჯერი → ინსპექტორი, ადმინისტრაციული მხარდაჭერის უზრუნველყოფით (ISO §4.1.2).</w:t>
      </w:r>
    </w:p>
    <w:p>
      <w:pPr>
        <w:pStyle w:val="ListNumber"/>
      </w:pPr>
      <w:r>
        <w:rPr>
          <w:rFonts w:ascii="Sylfaen" w:hAnsi="Sylfaen"/>
          <w:sz w:val="22"/>
        </w:rPr>
        <w:t>ბრძანებების გამოცემის უფლება — დირექტორი ლევან საჩიშვილი (ექსკლუზიური). გადატანა აღმასრულებელ დირექტორზე — მხოლოდ მხარდამჭერი ხასიათის ბრძანებებზე (ცნობის ფურცლები, კოპირება).</w:t>
      </w:r>
    </w:p>
    <w:p>
      <w:pPr>
        <w:pStyle w:val="ListNumber"/>
      </w:pPr>
      <w:r>
        <w:rPr>
          <w:rFonts w:ascii="Sylfaen" w:hAnsi="Sylfaen"/>
          <w:sz w:val="22"/>
        </w:rPr>
        <w:t>ფინანსური ოპერაციების ავტორიზაცია: 5,000 ლარამდე — აღმასრულებელი დირექტორი; 5,000-50,000 ლარი — დირექტორი + აღმასრულებელი დირექტორი ერთობლივად; 50,000+ ლარი — დირექტორი.</w:t>
      </w:r>
    </w:p>
    <w:p>
      <w:pPr>
        <w:pStyle w:val="ListNumber"/>
      </w:pPr>
      <w:r>
        <w:rPr>
          <w:rFonts w:ascii="Sylfaen" w:hAnsi="Sylfaen"/>
          <w:sz w:val="22"/>
        </w:rPr>
        <w:t xml:space="preserve">ტექნიკური დოკუმენტების ხელმოწერა (BE-FM-PLAN, BE-FM-TECH-REVIEW) — ტექნიკური მენეჯერი.</w:t>
      </w:r>
    </w:p>
    <w:p>
      <w:pPr>
        <w:pStyle w:val="ListNumber"/>
      </w:pPr>
      <w:r>
        <w:rPr>
          <w:rFonts w:ascii="Sylfaen" w:hAnsi="Sylfaen"/>
          <w:sz w:val="22"/>
        </w:rPr>
        <w:t xml:space="preserve">ხარისხის დოკუმენტების ხელმოწერა (BE-FM-QM-CHECK, BE-FM-IMP-CHECK, RM-01) — ხარისხის მენეჯერი.</w:t>
      </w:r>
    </w:p>
    <w:p>
      <w:pPr>
        <w:pStyle w:val="ListNumber"/>
      </w:pPr>
      <w:r>
        <w:rPr>
          <w:rFonts w:ascii="Sylfaen" w:hAnsi="Sylfaen"/>
          <w:sz w:val="22"/>
        </w:rPr>
        <w:t>ეს ბრძანება გაუქმებს ნებისმიერ წინა საქმეს ხელმოწერის უფლების დელეგირებაზე.</w:t>
      </w:r>
    </w:p>
    <w:p>
      <w:pPr>
        <w:pStyle w:val="ListNumber"/>
      </w:pPr>
      <w:r>
        <w:rPr>
          <w:rFonts w:ascii="Sylfaen" w:hAnsi="Sylfaen"/>
          <w:sz w:val="22"/>
        </w:rPr>
        <w:t>კონტროლი — ხარისხის მენეჯერი.</w:t>
      </w:r>
    </w:p>
    <w:p/>
    <w:p>
      <w:r>
        <w:rPr>
          <w:rFonts w:ascii="Sylfaen" w:hAnsi="Sylfaen"/>
          <w:b w:val="0"/>
          <w:i w:val="0"/>
          <w:sz w:val="22"/>
        </w:rPr>
        <w:t>ხელმოწერა: __________________________</w:t>
      </w:r>
    </w:p>
    <w:p>
      <w:r>
        <w:rPr>
          <w:rFonts w:ascii="Sylfaen" w:hAnsi="Sylfaen"/>
          <w:b w:val="0"/>
          <w:i w:val="0"/>
          <w:sz w:val="22"/>
        </w:rPr>
        <w:t>ლევან საჩიშვილი</w:t>
      </w:r>
    </w:p>
    <w:p>
      <w:r>
        <w:rPr>
          <w:rFonts w:ascii="Sylfaen" w:hAnsi="Sylfaen"/>
          <w:b w:val="0"/>
          <w:i w:val="0"/>
          <w:sz w:val="22"/>
        </w:rPr>
        <w:t>დირექტორი — შპს „ბილდექს ექსპერტიზა”</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ylfaen" w:hAnsi="Sylfaen"/>
        <w:sz w:val="18"/>
      </w:rPr>
      <w:t xml:space="preserve">შპს „ბილდექს ექსპერტიზა” | ORD-04_v2_2026 | ვერსია 2.0 | </w:t>
    </w:r>
    <w:r>
      <w:rPr>
        <w:rFonts w:ascii="Sylfaen" w:hAnsi="Sylfaen"/>
        <w:sz w:val="18"/>
      </w:rPr>
      <w:fldChar w:fldCharType="begin"/>
      <w:instrText>PAGE</w:instrText>
      <w:fldChar w:fldCharType="end"/>
    </w:r>
  </w:p>
</w:ftr>
</file>

<file path=word/header1.xml><?xml version="1.0" encoding="utf-8"?>
<w:hdr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mc:Ignorable="w14 wp14">
  <w:p>
    <w:pPr>
      <w:pStyle w:val="Header"/>
      <w:jc w:val="center"/>
    </w:pPr>
    <w:r>
      <w:rPr>
        <w:noProof/>
      </w:rPr>
      <w:drawing>
        <wp:anchor distT="0" distB="0" distL="0" distR="0" simplePos="0" relativeHeight="1" behindDoc="1" locked="1" layoutInCell="0" allowOverlap="0" wp14:anchorId="BE000001" wp14:editId="BE000001">
          <wp:simplePos x="0" y="0"/>
          <wp:positionH relativeFrom="page">
            <wp:posOffset>0</wp:posOffset>
          </wp:positionH>
          <wp:positionV relativeFrom="page">
            <wp:posOffset>0</wp:posOffset>
          </wp:positionV>
          <wp:extent cx="7560000" cy="10692000"/>
          <wp:effectExtent l="0" t="0" r="0" b="0"/>
          <wp:wrapNone/>
          <wp:docPr id="99001" name="be_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_background"/>
                  <pic:cNvPicPr>
                    <a:picLocks noChangeAspect="1" noChangeArrowheads="1"/>
                  </pic:cNvPicPr>
                </pic:nvPicPr>
                <pic:blipFill>
                  <a:blip r:embed="rId_bg"/>
                  <a:stretch>
                    <a:fillRect/>
                  </a:stretch>
                </pic:blipFill>
                <pic:spPr bwMode="auto">
                  <a:xfrm>
                    <a:off x="0" y="0"/>
                    <a:ext cx="7560000" cy="10692000"/>
                  </a:xfrm>
                  <a:prstGeom prst="rect">
                    <a:avLst/>
                  </a:prstGeom>
                  <a:noFill/>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ylfaen" w:hAnsi="Sylfaen" w:cs="Sylfaen" w:eastAsia="Sylfae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CoverLogo" Type="http://schemas.openxmlformats.org/officeDocument/2006/relationships/image" Target="media/cover_logo.png"/></Relationships>
</file>

<file path=word/_rels/header1.xml.rels><?xml version='1.0' encoding='UTF-8' standalone='yes'?>
<Relationships xmlns="http://schemas.openxmlformats.org/package/2006/relationships"><Relationship Id="rId_bg" Type="http://schemas.openxmlformats.org/officeDocument/2006/relationships/image" Target="media/be_backgroun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