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0"/>
        <w:shd w:val="clear" w:color="auto" w:fill="1B3A5C"/>
      </w:pPr>
      <w:r>
        <w:rPr>
          <w:b/>
          <w:rFonts w:ascii="Sylfaen" w:hAnsi="Sylfaen" w:cs="Sylfaen"/>
          <w:color w:val="FFFFFF"/>
          <w:sz w:val="36"/>
          <w:szCs w:val="36"/>
        </w:rPr>
        <w:t xml:space="preserve">შპს ბილდექს ექსპერტიზა</w:t>
      </w:r>
    </w:p>
    <w:p>
      <w:pPr>
        <w:pStyle w:val="Heading2"/>
      </w:pPr>
      <w:r>
        <w:rPr>
          <w:b/>
          <w:sz w:val="26"/>
          <w:szCs w:val="26"/>
        </w:rPr>
        <w:t xml:space="preserve">ცვლილებების ჟურნალი</w:t>
      </w:r>
    </w:p>
    <w:p>
      <w:pPr/>
      <w:r>
        <w:rPr/>
        <w:t xml:space="preserve">წინამდებარე მეორე რედაქცია ასახავს დამტკიცებული აუდიტის (H ფოლდერი) შედეგებს და QM-01 ვერსია 2.0-თან სრულ შესაბამისობას.</w:t>
      </w:r>
    </w:p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00"/>
        <w:gridCol w:w="3200"/>
        <w:gridCol w:w="3200"/>
        <w:gridCol w:w="2400"/>
      </w:tblGrid>
      <w:tr>
        <w:tc>
          <w:tcPr>
            <w:tcW w:w="500" w:type="dxa"/>
            <w:shd w:val="clear" w:color="auto" w:fill="D9E2F3"/>
          </w:tcPr>
          <w:p>
            <w:pPr/>
            <w:r>
              <w:rPr>
                <w:b/>
              </w:rPr>
              <w:t xml:space="preserve">№</w:t>
            </w:r>
          </w:p>
        </w:tc>
        <w:tc>
          <w:tcPr>
            <w:tcW w:w="3200" w:type="dxa"/>
            <w:shd w:val="clear" w:color="auto" w:fill="D9E2F3"/>
          </w:tcPr>
          <w:p>
            <w:pPr/>
            <w:r>
              <w:rPr>
                <w:b/>
              </w:rPr>
              <w:t xml:space="preserve">რა შეიცვალა</w:t>
            </w:r>
          </w:p>
        </w:tc>
        <w:tc>
          <w:tcPr>
            <w:tcW w:w="3200" w:type="dxa"/>
            <w:shd w:val="clear" w:color="auto" w:fill="D9E2F3"/>
          </w:tcPr>
          <w:p>
            <w:pPr/>
            <w:r>
              <w:rPr>
                <w:b/>
              </w:rPr>
              <w:t xml:space="preserve">რატომ (ხარვეზის აღწერა)</w:t>
            </w:r>
          </w:p>
        </w:tc>
        <w:tc>
          <w:tcPr>
            <w:tcW w:w="2400" w:type="dxa"/>
            <w:shd w:val="clear" w:color="auto" w:fill="D9E2F3"/>
          </w:tcPr>
          <w:p>
            <w:pPr/>
            <w:r>
              <w:rPr>
                <w:b/>
              </w:rPr>
              <w:t xml:space="preserve">საფუძველი (ISO 17020 / საკ / კანონი / QM-01)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1</w:t>
            </w:r>
          </w:p>
        </w:tc>
        <w:tc>
          <w:tcPr>
            <w:tcW w:w="3200" w:type="dxa"/>
          </w:tcPr>
          <w:p>
            <w:pPr/>
            <w:r>
              <w:rPr/>
              <w:t xml:space="preserve">ISO ბმები §7.7.6 → §7.6.4 და §7.8.7 → §7.5.1</w:t>
            </w:r>
          </w:p>
        </w:tc>
        <w:tc>
          <w:tcPr>
            <w:tcW w:w="3200" w:type="dxa"/>
          </w:tcPr>
          <w:p>
            <w:pPr/>
            <w:r>
              <w:rPr/>
              <w:t xml:space="preserve">ISO/IEC 17020-ში §7.7 და §7.8 არ არსებობს (§7 მთავრდება §7.6-ით); აპელაციის სწორი საფუძველია §7.6.4, საჩივრის — §7.5.1.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§7.5.1, §7.6.4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2</w:t>
            </w:r>
          </w:p>
        </w:tc>
        <w:tc>
          <w:tcPr>
            <w:tcW w:w="3200" w:type="dxa"/>
          </w:tcPr>
          <w:p>
            <w:pPr/>
            <w:r>
              <w:rPr/>
              <w:t xml:space="preserve">ტექსტში არასებული ბმები (ISO §7.7), (ISO §7.8) → §7.6 (აპელაცია), §7.5 (საჩივარი)</w:t>
            </w:r>
          </w:p>
        </w:tc>
        <w:tc>
          <w:tcPr>
            <w:tcW w:w="3200" w:type="dxa"/>
          </w:tcPr>
          <w:p>
            <w:pPr/>
            <w:r>
              <w:rPr/>
              <w:t xml:space="preserve">შიდა ტექსტური ბმებიც არასწორ, არარსებულ მუხლებზე მიუთითებდა.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§7.5, §7.6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3</w:t>
            </w:r>
          </w:p>
        </w:tc>
        <w:tc>
          <w:tcPr>
            <w:tcW w:w="3200" w:type="dxa"/>
          </w:tcPr>
          <w:p>
            <w:pPr/>
            <w:r>
              <w:rPr/>
              <w:t xml:space="preserve">ფორმის კოდი FM-IMP-COMMITTEE → BE-FM-IMP-COMMITTEE</w:t>
            </w:r>
          </w:p>
        </w:tc>
        <w:tc>
          <w:tcPr>
            <w:tcW w:w="3200" w:type="dxa"/>
          </w:tcPr>
          <w:p>
            <w:pPr/>
            <w:r>
              <w:rPr/>
              <w:t xml:space="preserve">ფორმის კოდი არ შეესაბამებოდა QM-01-ის ერთიან კოდირებას (BE- პრეფიქსი).</w:t>
            </w:r>
          </w:p>
        </w:tc>
        <w:tc>
          <w:tcPr>
            <w:tcW w:w="2400" w:type="dxa"/>
          </w:tcPr>
          <w:p>
            <w:pPr/>
            <w:r>
              <w:rPr/>
              <w:t xml:space="preserve">QM-01 §9; ISO/IEC 17020 §4.1.5, §8.3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4</w:t>
            </w:r>
          </w:p>
        </w:tc>
        <w:tc>
          <w:tcPr>
            <w:tcW w:w="3200" w:type="dxa"/>
          </w:tcPr>
          <w:p>
            <w:pPr/>
            <w:r>
              <w:rPr/>
              <w:t xml:space="preserve">კომიტეტის წევრი — ხარისხის მენეჯერი დაკონკრეტდა (აქვსენტი სუმბაძე)</w:t>
            </w:r>
          </w:p>
        </w:tc>
        <w:tc>
          <w:tcPr>
            <w:tcW w:w="3200" w:type="dxa"/>
          </w:tcPr>
          <w:p>
            <w:pPr/>
            <w:r>
              <w:rPr/>
              <w:t xml:space="preserve">„TBD“ ჩანაწერი წაიშალა; ხარისხის მენეჯერი ფორმალურად დასახელდა ORD-01-ის შესაბამისად.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§4.1.5; QM-01 §5.6.1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5</w:t>
            </w:r>
          </w:p>
        </w:tc>
        <w:tc>
          <w:tcPr>
            <w:tcW w:w="3200" w:type="dxa"/>
          </w:tcPr>
          <w:p>
            <w:pPr/>
            <w:r>
              <w:rPr/>
              <w:t xml:space="preserve">ელფოსტა → buildexexpertise@gmail.com; ვერსია/თარიღი → 2.0, 04.06.2026</w:t>
            </w:r>
          </w:p>
        </w:tc>
        <w:tc>
          <w:tcPr>
            <w:tcW w:w="3200" w:type="dxa"/>
          </w:tcPr>
          <w:p>
            <w:pPr/>
            <w:r>
              <w:rPr/>
              <w:t xml:space="preserve">არასწორი ელფოსტა და QM-01-ს დროით დაუსწრებელი თარიღი.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§5.2.3, §8.3; QM-01 v2.0</w:t>
            </w:r>
          </w:p>
        </w:tc>
      </w:tr>
      <w:tr>
        <w:tc>
          <w:tcPr>
            <w:tcW w:w="450" w:type="dxa"/>
          </w:tcPr>
          <w:p>
            <w:pPr/>
            <w:r>
              <w:rPr/>
              <w:t xml:space="preserve">6</w:t>
            </w:r>
          </w:p>
        </w:tc>
        <w:tc>
          <w:tcPr>
            <w:tcW w:w="3200" w:type="dxa"/>
          </w:tcPr>
          <w:p>
            <w:pPr/>
            <w:r>
              <w:rPr/>
              <w:t xml:space="preserve">ყდის ISO ბმა §4.1.4 → §4.1.5 (ხელმძღვანელობის ვალდებულება მიუკერძოებლობაზე).</w:t>
            </w:r>
          </w:p>
        </w:tc>
        <w:tc>
          <w:tcPr>
            <w:tcW w:w="3200" w:type="dxa"/>
          </w:tcPr>
          <w:p>
            <w:pPr/>
            <w:r>
              <w:rPr/>
              <w:t xml:space="preserve">ყდის ქვესათაური ტექსტს ეწინააღმდეგებოდა.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§4.1.5</w:t>
            </w:r>
          </w:p>
        </w:tc>
      </w:tr>
      <w:tr>
        <w:tc>
          <w:tcPr>
            <w:tcW w:w="450" w:type="dxa"/>
          </w:tcPr>
          <w:p>
            <w:pPr/>
            <w:r>
              <w:rPr/>
              <w:t xml:space="preserve">7</w:t>
            </w:r>
          </w:p>
        </w:tc>
        <w:tc>
          <w:tcPr>
            <w:tcW w:w="3200" w:type="dxa"/>
          </w:tcPr>
          <w:p>
            <w:pPr/>
            <w:r>
              <w:rPr/>
              <w:t xml:space="preserve">თარიღის სტრიქონში გაორმაგებული „:2012/2013:2012/2013“ → ერთიანი „ISO/IEC 17020:2012/2013“.</w:t>
            </w:r>
          </w:p>
        </w:tc>
        <w:tc>
          <w:tcPr>
            <w:tcW w:w="3200" w:type="dxa"/>
          </w:tcPr>
          <w:p>
            <w:pPr/>
            <w:r>
              <w:rPr/>
              <w:t xml:space="preserve">ავტომატური ჩანაცვლების ნაშთი.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§8.3</w:t>
            </w:r>
          </w:p>
        </w:tc>
      </w:tr>
    </w:tbl>
    <w:p>
      <w:pPr/>
    </w:p>
    <w:p>
      <w:pPr>
        <w:jc w:val="center"/>
        <w:spacing w:before="0" w:after="200"/>
        <w:shd w:val="clear" w:color="auto" w:fill="2E75B6"/>
      </w:pPr>
      <w:r>
        <w:rPr>
          <w:rFonts w:ascii="Sylfaen" w:hAnsi="Sylfaen" w:cs="Sylfaen"/>
          <w:color w:val="FFFFFF"/>
          <w:sz w:val="18"/>
          <w:szCs w:val="18"/>
        </w:rPr>
        <w:t xml:space="preserve">ს/კ 431188010  |  ქ. თელავი, ლიონიძის ქ. 22  |  buildexexpertise@gmail.com</w:t>
      </w:r>
    </w:p>
    <w:p>
      <w:pPr>
        <w:jc w:val="center"/>
        <w:spacing w:before="0" w:after="100"/>
      </w:pPr>
    </w:p>
    <w:p>
      <w:pPr>
        <w:jc w:val="center"/>
        <w:spacing w:before="0" w:after="100"/>
      </w:pPr>
    </w:p>
    <w:p>
      <w:pPr>
        <w:jc w:val="center"/>
        <w:spacing w:before="0" w:after="100"/>
      </w:pPr>
    </w:p>
    <w:p>
      <w:pPr>
        <w:jc w:val="center"/>
        <w:spacing w:before="2880" w:after="720"/>
      </w:pPr>
      <w:r>
        <w:drawing>
          <wp:inline distT="0" distB="0" distL="0" distR="0">
            <wp:extent cx="1440000" cy="1257600"/>
            <wp:effectExtent l="0" t="0" r="0" b="0"/>
            <wp:docPr id="200" name="Cover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CoverLogo"/>
                    <pic:cNvPicPr>
                      <a:picLocks noChangeAspect="1"/>
                    </pic:cNvPicPr>
                  </pic:nvPicPr>
                  <pic:blipFill>
                    <a:blip r:embed="rIdCoverLogo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00"/>
      </w:pPr>
    </w:p>
    <w:p>
      <w:pPr>
        <w:jc w:val="center"/>
        <w:spacing w:before="0" w:after="100"/>
      </w:pPr>
    </w:p>
    <w:p>
      <w:pPr>
        <w:jc w:val="center"/>
        <w:spacing w:before="100" w:after="100"/>
      </w:pPr>
      <w:r>
        <w:rPr>
          <w:b/>
          <w:rFonts w:ascii="Sylfaen" w:hAnsi="Sylfaen" w:cs="Sylfaen"/>
          <w:color w:val="1B3A5C"/>
          <w:sz w:val="44"/>
          <w:szCs w:val="44"/>
        </w:rPr>
        <w:t xml:space="preserve">მიუკერძოებლობის კომიტეტის შექმნა</w:t>
      </w:r>
    </w:p>
    <w:p>
      <w:pPr>
        <w:jc w:val="center"/>
        <w:spacing w:before="40" w:after="80"/>
      </w:pPr>
      <w:r>
        <w:rPr>
          <w:b/>
          <w:rFonts w:ascii="Sylfaen" w:hAnsi="Sylfaen" w:cs="Sylfaen"/>
          <w:color w:val="2E75B6"/>
          <w:sz w:val="64"/>
          <w:szCs w:val="64"/>
        </w:rPr>
        <w:t xml:space="preserve">ORD-05</w:t>
      </w:r>
    </w:p>
    <w:p>
      <w:pPr>
        <w:jc w:val="center"/>
        <w:spacing w:before="0" w:after="120"/>
      </w:pPr>
      <w:r>
        <w:rPr>
          <w:rFonts w:ascii="Sylfaen" w:hAnsi="Sylfaen" w:cs="Sylfaen"/>
          <w:color w:val="1B3A5C"/>
          <w:sz w:val="20"/>
          <w:szCs w:val="20"/>
        </w:rPr>
        <w:t xml:space="preserve">ბრძანება | სსტ ISO/IEC 17020:2012/2013 §4.1.5</w:t>
      </w:r>
    </w:p>
    <w:p>
      <w:pPr>
        <w:pBdr>
          <w:bottom w:val="single" w:sz="8" w:space="1" w:color="2E75B6"/>
        </w:pBdr>
        <w:spacing w:before="200" w:after="200"/>
      </w:pPr>
    </w:p>
    <w:tbl>
      <w:tblPr>
        <w:tblW w:w="9000" w:type="dxa"/>
        <w:tblBorders>
          <w:top w:val="single" w:sz="4" w:color="1B3A5C"/>
          <w:left w:val="single" w:sz="4" w:color="1B3A5C"/>
          <w:bottom w:val="single" w:sz="4" w:color="1B3A5C"/>
          <w:right w:val="single" w:sz="4" w:color="1B3A5C"/>
          <w:insideH w:val="single" w:sz="4" w:color="1B3A5C"/>
          <w:insideV w:val="single" w:sz="4" w:color="1B3A5C"/>
        </w:tblBorders>
        <w:tblCellMar>
          <w:top w:w="80" w:type="dxa"/>
          <w:left w:w="160" w:type="dxa"/>
          <w:bottom w:w="80" w:type="dxa"/>
          <w:right w:w="160" w:type="dxa"/>
        </w:tblCellMar>
      </w:tblP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იურიდიული პირი: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შპს "ბილდექს ექსპერტიზა"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საიდ. კოდი: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431188010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მისამართი: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ქ. თელავი, ლიონიძის ქ. 22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ელ-ფოსტა: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buildexexpertise@gmail.com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ტელეფონი: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+995 511 747 400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ორგ. ტიპი: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A ტ. — სსტ ISO/IEC 17020:2012/2013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შედგ.: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ხარისხის მენეჯერი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დამტ.: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დირექტორი</w:t>
            </w:r>
          </w:p>
        </w:tc>
      </w:tr>
    </w:tbl>
    <w:p>
      <w:pPr>
        <w:jc w:val="center"/>
        <w:spacing w:before="120" w:after="0"/>
      </w:pPr>
    </w:p>
    <w:p>
      <w:pPr>
        <w:jc w:val="center"/>
        <w:spacing w:before="0" w:after="60"/>
      </w:pPr>
      <w:r>
        <w:rPr>
          <w:rFonts w:ascii="Sylfaen" w:hAnsi="Sylfaen" w:cs="Sylfaen"/>
          <w:color w:val="1B3A5C"/>
          <w:sz w:val="18"/>
          <w:szCs w:val="18"/>
        </w:rPr>
        <w:t xml:space="preserve">ვერსია: 2.0 | მეორე რედაქცია | 04.06.2026</w:t>
      </w:r>
    </w:p>
    <w:p>
      <w:pPr>
        <w:pBdr>
          <w:bottom w:val="single" w:sz="8" w:space="1" w:color="2E75B6"/>
        </w:pBdr>
        <w:spacing w:before="200" w:after="200"/>
      </w:pPr>
    </w:p>
    <w:p>
      <w:pPr>
        <w:jc w:val="center"/>
        <w:spacing w:before="40" w:after="40"/>
      </w:pPr>
      <w:r>
        <w:rPr>
          <w:i/>
          <w:rFonts w:ascii="Sylfaen" w:hAnsi="Sylfaen" w:cs="Sylfaen"/>
          <w:color w:val="808080"/>
          <w:sz w:val="18"/>
          <w:szCs w:val="18"/>
        </w:rPr>
        <w:t xml:space="preserve">კ ო ნ ფ ი დ ე ნ ც ი ა ლ უ რ ი — მხოლოდ შიდა გამოყენებისთვის</w:t>
      </w:r>
    </w:p>
    <w:p>
      <w:r>
        <w:br w:type="page"/>
      </w:r>
    </w:p>
    <w:p>
      <w:pPr>
        <w:jc w:val="center"/>
        <w:shd w:val="clear" w:color="auto" w:fill="1B3A5C"/>
        <w:spacing w:before="120" w:after="120"/>
      </w:pPr>
      <w:r>
        <w:rPr>
          <w:rFonts w:ascii="Sylfaen" w:hAnsi="Sylfaen"/>
          <w:sz w:val="28"/>
          <w:b/>
          <w:color w:val="FFFFFF"/>
        </w:rPr>
        <w:t xml:space="preserve">შპს ბილდექს ექსპერტიზა</w:t>
      </w:r>
    </w:p>
    <w:p>
      <w:pPr>
        <w:jc w:val="center"/>
        <w:shd w:val="clear" w:color="auto" w:fill="2E75B6"/>
        <w:spacing w:before="120" w:after="120"/>
      </w:pPr>
      <w:r>
        <w:rPr>
          <w:rFonts w:ascii="Sylfaen" w:hAnsi="Sylfaen"/>
          <w:sz w:val="20"/>
          <w:color w:val="FFFFFF"/>
        </w:rPr>
        <w:t xml:space="preserve">ს/კ 431188010 | ქ. თელავი, ლიონიძის ქ. 22 | buildexexpertise@gmail.com</w:t>
      </w:r>
    </w:p>
    <w:p>
      <w:pPr>
        <w:jc w:val="center"/>
        <w:spacing w:before="600" w:after="0"/>
      </w:pPr>
    </w:p>
    <w:p>
      <w:pPr>
        <w:jc w:val="center"/>
        <w:spacing w:before="0" w:after="80"/>
      </w:pPr>
      <w:r>
        <w:rPr>
          <w:rFonts w:ascii="Sylfaen" w:hAnsi="Sylfaen"/>
          <w:sz w:val="22"/>
          <w:color w:val="2E75B6"/>
        </w:rPr>
        <w:t xml:space="preserve">ᲑᲠᲫᲐᲜᲔᲑᲐ</w:t>
      </w:r>
    </w:p>
    <w:p>
      <w:pPr>
        <w:jc w:val="center"/>
        <w:spacing w:before="0" w:after="160"/>
      </w:pPr>
      <w:r>
        <w:rPr>
          <w:rFonts w:ascii="Sylfaen" w:hAnsi="Sylfaen"/>
          <w:sz w:val="48"/>
          <w:b/>
          <w:color w:val="1B3A5C"/>
        </w:rPr>
        <w:t xml:space="preserve">ORD-05</w:t>
      </w:r>
    </w:p>
    <w:p>
      <w:pPr>
        <w:pBdr>
          <w:bottom w:val="single" w:sz="18" w:color="2E75B6"/>
        </w:pBdr>
        <w:spacing w:before="0" w:after="0"/>
      </w:pPr>
    </w:p>
    <w:p>
      <w:pPr>
        <w:jc w:val="center"/>
        <w:spacing w:before="200" w:after="0"/>
      </w:pPr>
    </w:p>
    <w:p>
      <w:pPr>
        <w:jc w:val="center"/>
        <w:spacing w:before="0" w:after="400"/>
      </w:pPr>
      <w:r>
        <w:rPr>
          <w:rFonts w:ascii="Sylfaen" w:hAnsi="Sylfaen"/>
          <w:sz w:val="32"/>
          <w:b/>
          <w:color w:val="1B3A5C"/>
        </w:rPr>
        <w:t xml:space="preserve">მიუკერძოებლობის კომიტეტის შექმნა</w:t>
      </w:r>
    </w:p>
    <w:p>
      <w:pPr>
        <w:jc w:val="center"/>
        <w:spacing w:before="400" w:after="0"/>
      </w:pPr>
    </w:p>
    <w:p>
      <w:pPr>
        <w:jc w:val="center"/>
        <w:spacing w:before="0" w:after="80"/>
      </w:pPr>
      <w:r>
        <w:rPr>
          <w:rFonts w:ascii="Sylfaen" w:hAnsi="Sylfaen"/>
          <w:sz w:val="20"/>
          <w:color w:val="555555"/>
        </w:rPr>
        <w:t xml:space="preserve">ვერსია: 2.0 | მეორე რედაქცია | თარიღი: 04.06.2026 | სტატუსი: მოქმედი</w:t>
      </w:r>
    </w:p>
    <w:p>
      <w:pPr>
        <w:jc w:val="center"/>
        <w:spacing w:before="0" w:after="80"/>
      </w:pPr>
      <w:r>
        <w:rPr>
          <w:rFonts w:ascii="Sylfaen" w:hAnsi="Sylfaen"/>
          <w:sz w:val="20"/>
          <w:color w:val="2E75B6"/>
        </w:rPr>
        <w:t xml:space="preserve">სსტ ისო/იეკ 17020:2012/2013 — A ტიპის ინსპექტირების ორგანო</w:t>
      </w:r>
    </w:p>
    <w:p>
      <w:pPr>
        <w:jc w:val="center"/>
        <w:spacing w:before="0" w:after="400"/>
      </w:pPr>
      <w:r>
        <w:rPr>
          <w:rFonts w:ascii="Sylfaen" w:hAnsi="Sylfaen"/>
          <w:sz w:val="20"/>
          <w:color w:val="555555"/>
        </w:rPr>
        <w:t xml:space="preserve">საქართველოს აკრედიტაციის ეროვნული ცენტრი (GAC)</w:t>
      </w:r>
    </w:p>
    <w:p>
      <w:pPr>
        <w:jc w:val="center"/>
        <w:spacing w:before="400" w:after="0"/>
      </w:pPr>
    </w:p>
    <w:p>
      <w:pPr>
        <w:pBdr>
          <w:bottom w:val="single" w:sz="18" w:color="2E75B6"/>
        </w:pBdr>
        <w:spacing w:before="0" w:after="0"/>
      </w:pPr>
    </w:p>
    <w:p>
      <w:pPr>
        <w:jc w:val="center"/>
        <w:spacing w:before="80" w:after="80"/>
      </w:pPr>
      <w:r>
        <w:rPr>
          <w:rFonts w:ascii="Sylfaen" w:hAnsi="Sylfaen"/>
          <w:sz w:val="18"/>
          <w:color w:val="888888"/>
        </w:rPr>
        <w:t xml:space="preserve">კონფიდენციალური — მხოლოდ შიდა გამოყენებისთვის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შპს „ბილდექს ექსპერტიზა”</w:t>
      </w:r>
    </w:p>
    <w:p>
      <w:pPr>
        <w:jc w:val="center"/>
      </w:pPr>
      <w:r>
        <w:rPr>
          <w:sz w:val="20"/>
        </w:rPr>
        <w:t>ს/კ 431188010 | ქ. თელავი, ლიონიძის ქ. 22</w:t>
      </w:r>
    </w:p>
    <w:p/>
    <w:tbl>
      <w:tblPr>
        <w:tblStyle w:val="TableGrid"/>
        <w:tblW w:w="9016" w:type="dxa"/>
        <w:tblBorders>
          <w:top w:val="none" w:sz="0" w:color="auto"/>
          <w:left w:val="thick" w:sz="24" w:color="1B4F72"/>
          <w:bottom w:val="none" w:sz="0" w:color="auto"/>
          <w:right w:val="none" w:sz="0" w:color="auto"/>
          <w:insideH w:val="none" w:sz="0" w:color="auto"/>
          <w:insideV w:val="none" w:sz="0" w:color="auto"/>
        </w:tblBorders>
        <w:shd w:val="clear" w:color="auto" w:fill="EBF5FB"/>
      </w:tblPr>
      <w:tr>
        <w:tc>
          <w:tcPr>
            <w:tcW w:w="9016" w:type="dxa"/>
            <w:shd w:val="clear" w:color="auto" w:fill="EBF5FB"/>
          </w:tcPr>
          <w:p>
            <w:pPr>
              <w:pStyle w:val="Normal"/>
              <w:spacing w:before="80" w:after="80"/>
              <w:ind w:left="180"/>
            </w:pPr>
            <w:r>
              <w:rPr>
                <w:rFonts w:ascii="Sylfaen" w:hAnsi="Sylfaen"/>
                <w:sz w:val="20"/>
                <w:color w:val="1A3A5C"/>
              </w:rPr>
              <w:t xml:space="preserve">📋  რა არის ეს ბრძანება:
მიუკერძოებლობის კომიტეტის შექმნის ბრძანება — ოფიციალური ადმინისტრაციული დოკუმენტი, რომელიც ადასტურებს, რომ ორგანიზაციამ შექმნა დამოუკიდებელი კომიტეტი მიუკერძოებლობის პოლიტიკის ზედამხედველობისთვის. A-ტიპის ინსპექტირების ორგანოსთვის ეს კომიტეტი სავალდებულო მოთხოვნაა.</w:t>
            </w:r>
          </w:p>
        </w:tc>
      </w:tr>
    </w:tbl>
    <w:p/>
    <w:p>
      <w:pPr>
        <w:jc w:val="center"/>
      </w:pPr>
      <w:r>
        <w:rPr>
          <w:b/>
          <w:sz w:val="32"/>
        </w:rPr>
        <w:t>ბრძანება № ORD-05_v2_2026</w:t>
      </w:r>
    </w:p>
    <w:p>
      <w:pPr>
        <w:jc w:val="center"/>
      </w:pPr>
      <w:r>
        <w:rPr>
          <w:b/>
          <w:sz w:val="26"/>
        </w:rPr>
        <w:t>მიუკერძოებლობის კომიტეტის დანიშვნის შესახებ</w:t>
      </w:r>
    </w:p>
    <w:p>
      <w:pPr>
        <w:jc w:val="right"/>
      </w:pPr>
      <w:r>
        <w:rPr>
          <w:sz w:val="20"/>
        </w:rPr>
        <w:t xml:space="preserve">ქ. თელავი | 2026 წლის 4 ივნისი (განახლება სსტ ისო/იეკ 17020:2012/2013-ისთვის)</w:t>
      </w:r>
    </w:p>
    <w:p/>
    <w:p>
      <w:r>
        <w:rPr>
          <w:rFonts w:ascii="Sylfaen" w:hAnsi="Sylfaen"/>
          <w:b w:val="0"/>
          <w:i w:val="0"/>
          <w:sz w:val="22"/>
        </w:rPr>
        <w:t xml:space="preserve">სსტ ისო/იეკ 17020:2012/2013 (ინსპექტირების ორგანოების კომპეტენციისა და სანდოობის საერთაშორისო სტანდარტი)-ის მუხლი 4.1.5-ის (უმაღლესი მენეჯმენტის ვალდებულება) და მუხლი 7.6.4-ის და მუხლი 7.5.1-ის (აპელაციის/საჩივრის გადაწყვეტა დამოუკიდებელი პირისგან) საფუძველზე,</w:t>
      </w:r>
    </w:p>
    <w:p>
      <w:r>
        <w:rPr>
          <w:rFonts w:ascii="Sylfaen" w:hAnsi="Sylfaen"/>
          <w:b w:val="0"/>
          <w:i w:val="0"/>
          <w:sz w:val="22"/>
        </w:rPr>
      </w:r>
    </w:p>
    <w:p>
      <w:pPr>
        <w:jc w:val="center"/>
      </w:pPr>
      <w:r>
        <w:rPr>
          <w:rFonts w:ascii="Sylfaen" w:hAnsi="Sylfaen"/>
          <w:b/>
          <w:i w:val="0"/>
          <w:sz w:val="22"/>
        </w:rPr>
        <w:t>ვ ბ რ ძ ა ნ ე ბ:</w:t>
      </w:r>
    </w:p>
    <w:p>
      <w:pPr>
        <w:pStyle w:val="ListNumber"/>
      </w:pPr>
      <w:r>
        <w:rPr>
          <w:rFonts w:ascii="Sylfaen" w:hAnsi="Sylfaen"/>
          <w:sz w:val="22"/>
        </w:rPr>
        <w:t>შპს „ბილდექს ექსპერტიზა”-ში დაინიშნოს მიუკერძოებლობის კომიტეტი შემდეგი შემადგენლობით:</w:t>
      </w:r>
    </w:p>
    <w:p>
      <w:r>
        <w:rPr>
          <w:rFonts w:ascii="Sylfaen" w:hAnsi="Sylfaen"/>
          <w:b w:val="0"/>
          <w:i w:val="0"/>
          <w:sz w:val="22"/>
        </w:rPr>
        <w:t>• თავმჯდომარე — დირექტორი ლევან საჩიშვილი</w:t>
      </w:r>
    </w:p>
    <w:p>
      <w:r>
        <w:rPr>
          <w:rFonts w:ascii="Sylfaen" w:hAnsi="Sylfaen"/>
          <w:b w:val="0"/>
          <w:i w:val="0"/>
          <w:sz w:val="22"/>
        </w:rPr>
        <w:t xml:space="preserve">• წევრი — ხარისხის მენეჯერი აქვსენტი სუმბაძე (დანიშნული ORD-01-ის შესაბამისად)</w:t>
      </w:r>
    </w:p>
    <w:p>
      <w:r>
        <w:rPr>
          <w:rFonts w:ascii="Sylfaen" w:hAnsi="Sylfaen"/>
          <w:b w:val="0"/>
          <w:i w:val="0"/>
          <w:sz w:val="22"/>
        </w:rPr>
        <w:t>• გარე წევრი — დარგობრივი ექსპერტი (აქტუალიზდება ცალკე ბრძანებით საჭიროებისამებრ — ნდობის უზრუნველსაყოფად)</w:t>
      </w:r>
    </w:p>
    <w:p>
      <w:pPr>
        <w:pStyle w:val="ListNumber"/>
      </w:pPr>
      <w:r>
        <w:rPr>
          <w:rFonts w:ascii="Sylfaen" w:hAnsi="Sylfaen"/>
          <w:sz w:val="22"/>
        </w:rPr>
        <w:t>კომიტეტი ფუნქციონირებს ad-hoc — შეიკრიბება შემდეგი შემთხვევებში:</w:t>
      </w:r>
    </w:p>
    <w:p>
      <w:r>
        <w:rPr>
          <w:rFonts w:ascii="Sylfaen" w:hAnsi="Sylfaen"/>
          <w:b w:val="0"/>
          <w:i w:val="0"/>
          <w:sz w:val="22"/>
        </w:rPr>
        <w:t>• ინსპექტირების საქმეში გამოვლინდა მიუკერძოებლობის სერიოზული რისკი, რომელიც სცილდება ინდივიდუალური მიტიგაციის ფარგლებს</w:t>
      </w:r>
    </w:p>
    <w:p>
      <w:r>
        <w:rPr>
          <w:rFonts w:ascii="Sylfaen" w:hAnsi="Sylfaen"/>
          <w:b w:val="0"/>
          <w:i w:val="0"/>
          <w:sz w:val="22"/>
        </w:rPr>
        <w:t xml:space="preserve">• კლიენტისგან მოვიდა აპელაცია (ISO §7.6 — აპელაცია) — გადაწყვეტა საჭიროებს დამოუკიდებელ მიმოხილვას</w:t>
      </w:r>
    </w:p>
    <w:p>
      <w:r>
        <w:rPr>
          <w:rFonts w:ascii="Sylfaen" w:hAnsi="Sylfaen"/>
          <w:b w:val="0"/>
          <w:i w:val="0"/>
          <w:sz w:val="22"/>
        </w:rPr>
        <w:t xml:space="preserve">• კლიენტისგან მოვიდა საჩივარი ინსპექტირების შედეგზე (ISO §7.5 — საჩივარი) — განხილვა საჭიროებს დამოუკიდებელ პირს</w:t>
      </w:r>
    </w:p>
    <w:p>
      <w:r>
        <w:rPr>
          <w:rFonts w:ascii="Sylfaen" w:hAnsi="Sylfaen"/>
          <w:b w:val="0"/>
          <w:i w:val="0"/>
          <w:sz w:val="22"/>
        </w:rPr>
        <w:t>• ანონიმური უკუკავშირი მიუკერძოებლობის ან კონფიდენციალურობის შესახებ</w:t>
      </w:r>
    </w:p>
    <w:p>
      <w:pPr>
        <w:pStyle w:val="ListNumber"/>
      </w:pPr>
      <w:r>
        <w:rPr>
          <w:rFonts w:ascii="Sylfaen" w:hAnsi="Sylfaen"/>
          <w:sz w:val="22"/>
        </w:rPr>
        <w:t>კომიტეტს გააჩნია უფლება გადახედოს ნებისმიერი საქმე, ანგარიში, დასკვნა; მოაუწოდოს გასწორების ან ხელახალი ჩატარების მოთხოვნა.</w:t>
      </w:r>
    </w:p>
    <w:p>
      <w:pPr>
        <w:pStyle w:val="ListNumber"/>
      </w:pPr>
      <w:r>
        <w:rPr>
          <w:rFonts w:ascii="Sylfaen" w:hAnsi="Sylfaen"/>
          <w:sz w:val="22"/>
        </w:rPr>
        <w:t xml:space="preserve">კომიტეტის ოქმი (BE-FM-IMP-COMMITTEE) — წერილობით, კომიტეტის წევრთა ხელმოწერით; ინახება ხარისხის მენეჯერთან.</w:t>
      </w:r>
    </w:p>
    <w:p>
      <w:pPr>
        <w:pStyle w:val="ListNumber"/>
      </w:pPr>
      <w:r>
        <w:rPr>
          <w:rFonts w:ascii="Sylfaen" w:hAnsi="Sylfaen"/>
          <w:sz w:val="22"/>
        </w:rPr>
        <w:t>კომიტეტი ანგარიშს წარადგენს დირექტორთან 14 დღის ვადით საქმის დახურვის შემდეგ.</w:t>
      </w:r>
    </w:p>
    <w:p>
      <w:pPr>
        <w:pStyle w:val="ListNumber"/>
      </w:pPr>
      <w:r>
        <w:rPr>
          <w:rFonts w:ascii="Sylfaen" w:hAnsi="Sylfaen"/>
          <w:sz w:val="22"/>
        </w:rPr>
        <w:t>კონტროლი — დირექტორი.</w:t>
      </w:r>
    </w:p>
    <w:p/>
    <w:p>
      <w:r>
        <w:rPr>
          <w:rFonts w:ascii="Sylfaen" w:hAnsi="Sylfaen"/>
          <w:b w:val="0"/>
          <w:i w:val="0"/>
          <w:sz w:val="22"/>
        </w:rPr>
        <w:t>ხელმოწერა: __________________________</w:t>
      </w:r>
    </w:p>
    <w:p>
      <w:r>
        <w:rPr>
          <w:rFonts w:ascii="Sylfaen" w:hAnsi="Sylfaen"/>
          <w:b w:val="0"/>
          <w:i w:val="0"/>
          <w:sz w:val="22"/>
        </w:rPr>
        <w:t>ლევან საჩიშვილი</w:t>
      </w:r>
    </w:p>
    <w:p>
      <w:r>
        <w:rPr>
          <w:rFonts w:ascii="Sylfaen" w:hAnsi="Sylfaen"/>
          <w:b w:val="0"/>
          <w:i w:val="0"/>
          <w:sz w:val="22"/>
        </w:rPr>
        <w:t>დირექტორი — შპს „ბილდექს ექსპერტიზა”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ylfaen" w:hAnsi="Sylfaen"/>
        <w:sz w:val="18"/>
      </w:rPr>
      <w:t xml:space="preserve">შპს „ბილდექს ექსპერტიზა” | ORD-05_v2_2026 | ვერსია 2.0 | </w:t>
    </w:r>
    <w:r>
      <w:rPr>
        <w:rFonts w:ascii="Sylfaen" w:hAnsi="Sylfaen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="http://schemas.openxmlformats.org/wordprocessingml/2006/main" xmlns:w14="http://schemas.microsoft.com/office/word/2010/wordml" mc:Ignorable="w14 wp14">
  <w:p>
    <w:pPr>
      <w:pStyle w:val="Header"/>
      <w:jc w:val="center"/>
    </w:pPr>
    <w:r>
      <w:rPr>
        <w:noProof/>
      </w:rPr>
      <w:drawing>
        <wp:anchor distT="0" distB="0" distL="0" distR="0" simplePos="0" relativeHeight="1" behindDoc="1" locked="1" layoutInCell="0" allowOverlap="0" wp14:anchorId="BE000001" wp14:editId="BE00000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9001" name="be_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e_background"/>
                  <pic:cNvPicPr>
                    <a:picLocks noChangeAspect="1" noChangeArrowheads="1"/>
                  </pic:cNvPicPr>
                </pic:nvPicPr>
                <pic:blipFill>
                  <a:blip r:embed="rId_bg"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ylfaen" w:hAnsi="Sylfaen" w:cs="Sylfaen" w:eastAsia="Sylfae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CoverLogo" Type="http://schemas.openxmlformats.org/officeDocument/2006/relationships/image" Target="media/cover_logo.png"/></Relationships>
</file>

<file path=word/_rels/header1.xml.rels><?xml version='1.0' encoding='UTF-8' standalone='yes'?>
<Relationships xmlns="http://schemas.openxmlformats.org/package/2006/relationships"><Relationship Id="rId_bg" Type="http://schemas.openxmlformats.org/officeDocument/2006/relationships/image" Target="media/be_backgroun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