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Architectural Blueprint for a Scalable Frontend Ecosystem and Advanced Component Onboarding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1: Unified Monorepo Architectural Vision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Executive Summary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document outlines the strategic initiative to re-platform the organization's frontend architecture, establishing a state-of-the-art, federated monorepo ecosystem. This new architecture is built upon a modern technology stack, including Node.js 23, Yarn v4 with Plug'n'Play, and Turborepo for high-performance build orchestration.</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primary objectives of this initiative are threefold: to dramatically enhance developer velocity through standardized workflows and tooling; to enforce superior code quality, consistency, and reliability across all projects; and to construct a scalable, future-proof foundation capable of supporting a new generation of feature-rich user interface components. The immediate and central focus of this plan is the successful onboarding of a highly sophisticated, state-persistent AG Grid component, which will serve as the flagship implementation and validation of the architecture's capabilities, particularly for complex Admin UI applications.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Core Architectural Principles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design of this ecosystem is guided by a set of core architectural principles that inform every subsequent decision, ensuring the final implementation is coherent, robust, and aligned with long-term strategic goals.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Strategic Separation of Concerns:</w:t>
      </w:r>
      <w:r w:rsidDel="00000000" w:rsidR="00000000" w:rsidRPr="00000000">
        <w:rPr>
          <w:rFonts w:ascii="Google Sans Text" w:cs="Google Sans Text" w:eastAsia="Google Sans Text" w:hAnsi="Google Sans Text"/>
          <w:color w:val="1b1c1d"/>
          <w:rtl w:val="0"/>
        </w:rPr>
        <w:t xml:space="preserve"> The architecture mandates a clear and deliberate separation between the foundational UI platform and application-specific business logic. This is the cornerstone of the multi-monorepo strategy, where domain-agnostic elements such as the design system, core components, and development tooling are isolated from the domain-aware, feature-rich components and application logic. This separation promotes reusability, simplifies maintenance, and allows the core platform to evolve independently of the applications built upon it.</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Developer Experience (DX) as a First-Class Citizen:</w:t>
      </w:r>
      <w:r w:rsidDel="00000000" w:rsidR="00000000" w:rsidRPr="00000000">
        <w:rPr>
          <w:rFonts w:ascii="Google Sans Text" w:cs="Google Sans Text" w:eastAsia="Google Sans Text" w:hAnsi="Google Sans Text"/>
          <w:color w:val="1b1c1d"/>
          <w:rtl w:val="0"/>
        </w:rPr>
        <w:t xml:space="preserve"> Significant investment is directed toward creating a streamlined, consistent, and highly productive developer workflow. This is achieved through the establishment of a comprehensive suite of standardized tooling and automated quality gates. The implementation of Git hooks via Husky, Lint Staged, Commitlint, and Commitizen ensures that all contributions adhere to strict quality and formatting standards from the moment of creation, reducing cognitive overhead and streamlining the code review process.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Maximal State Persistence:</w:t>
      </w:r>
      <w:r w:rsidDel="00000000" w:rsidR="00000000" w:rsidRPr="00000000">
        <w:rPr>
          <w:rFonts w:ascii="Google Sans Text" w:cs="Google Sans Text" w:eastAsia="Google Sans Text" w:hAnsi="Google Sans Text"/>
          <w:color w:val="1b1c1d"/>
          <w:rtl w:val="0"/>
        </w:rPr>
        <w:t xml:space="preserve"> A foundational tenet of the user experience philosophy is the seamless preservation of application state. This principle extends beyond merely caching API data; the architecture is designed to capture and persist a granular level of user interaction state, particularly within complex components like data grids. Every user-driven modification—from sorting and filtering to column resizing and row selections—is intended to be preserved across page navigations and user sessions, creating a continuous and context-aware user journey.</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Configuration-Driven UI (CDUI):</w:t>
      </w:r>
      <w:r w:rsidDel="00000000" w:rsidR="00000000" w:rsidRPr="00000000">
        <w:rPr>
          <w:rFonts w:ascii="Google Sans Text" w:cs="Google Sans Text" w:eastAsia="Google Sans Text" w:hAnsi="Google Sans Text"/>
          <w:color w:val="1b1c1d"/>
          <w:rtl w:val="0"/>
        </w:rPr>
        <w:t xml:space="preserve"> The architecture promotes a declarative approach to component composition through the use of a Domain-Specific Language (DSL). Components, such as the advanced AG Grid, will be configured via a DSL that defines their structure, features, and behavior. This approach decouples the component's implementation from its usage, enabling dynamic feature flagging, reducing boilerplate code, and allowing for more flexible and rapid UI development cycles.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Architectural Implications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deliberate structuring of packages and responsibilities within this architecture is not merely a technical decision but a blueprint for a highly effective organizational operating model. The clear division between packages prefixed with @highradius_core_ui and those prefixed with @highradius_aps_ui strongly indicates the establishment of a formal "Platform Team" model.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@highradius_core_ui namespace is consistently used for foundational, domain-agnostic packages. This includes shared configurations for code quality (eslint_config, prettier_config)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visual design system (</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material_ui_config)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base library of atomic components (</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core)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and even the foundational wrapper for the data grid (</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grid).</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These are the stable, reusable building blocks of the entire frontend ecosystem.</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Conversely, the @highradius_aps_ui namespace is reserved for application-specific implementations and complex business logic. This is where the advanced, feature-rich version of the grid resides, complete with its sophisticated data fetching and state caching mechanisms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as well as the dedicated data caching strategy itself.</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These packages are the consumers of the core platform, extending its capabilities to solve specific business problems.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bifurcation of responsibilities naturally leads to an organizational structure where a central Platform Team assumes ownership of the highradius_core_ui monorepo. This team's mandate is to ensure the stability, performance, accessibility, and continuous improvement of the core UI platform. Feature and Product teams, in turn, become the primary consumers of this platform, operating within the highradius_aps_ui monorepo to build applications and features at an accelerated pace. The success of this technical architecture is therefore intrinsically linked to the successful implementation of this organizational model, which necessitates strong governance, well-defined contribution guidelines, and robust communication channels between the platform and product development teams.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Figure 1.1: High-Level Multi-Monorepo Architecture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0b57d0"/>
          <w:u w:val="single"/>
        </w:rPr>
      </w:pPr>
      <w:hyperlink r:id="rId6">
        <w:r w:rsidDel="00000000" w:rsidR="00000000" w:rsidRPr="00000000">
          <w:rPr>
            <w:rFonts w:ascii="Google Sans Text" w:cs="Google Sans Text" w:eastAsia="Google Sans Text" w:hAnsi="Google Sans Text"/>
            <w:b w:val="1"/>
            <w:color w:val="0b57d0"/>
            <w:u w:val="single"/>
            <w:rtl w:val="0"/>
          </w:rPr>
          <w:t xml:space="preserve">Click to view diagram in draw.io</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i w:val="1"/>
          <w:color w:val="1b1c1d"/>
          <w:rtl w:val="0"/>
        </w:rPr>
        <w:t xml:space="preserve">This diagram should illustrate the three-monorepo structure: highradius_ui_config at the top for global governance, highradius_core_ui as the central platform providing foundational packages, and highradius_aps_ui as the application layer consuming packages from the core platform. Arrows should indicate the direction of dependencies.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1"/>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2: Multi-Monorepo Implementation Strategy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ecosystem is strategically partitioned into three distinct monorepos, each with a clearly defined mandate and set of responsibilities. This separation ensures logical cohesion, isolates concerns, and allows for independent lifecycle management where appropriate.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The highradius_core_ui Monorepo: The Foundational Platform</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9">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Mandate:</w:t>
      </w:r>
      <w:r w:rsidDel="00000000" w:rsidR="00000000" w:rsidRPr="00000000">
        <w:rPr>
          <w:rFonts w:ascii="Google Sans Text" w:cs="Google Sans Text" w:eastAsia="Google Sans Text" w:hAnsi="Google Sans Text"/>
          <w:color w:val="1b1c1d"/>
          <w:rtl w:val="0"/>
        </w:rPr>
        <w:t xml:space="preserve"> To provide a stable, well-documented, and performant set of tools and UI primitives that serve as the single source of truth for the "HiRa" design system and development standards. This monorepo is the foundation upon which all frontend applications are built.</w:t>
      </w:r>
    </w:p>
    <w:p w:rsidR="00000000" w:rsidDel="00000000" w:rsidP="00000000" w:rsidRDefault="00000000" w:rsidRPr="00000000" w14:paraId="0000002A">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Contents:</w:t>
      </w:r>
    </w:p>
    <w:p w:rsidR="00000000" w:rsidDel="00000000" w:rsidP="00000000" w:rsidRDefault="00000000" w:rsidRPr="00000000" w14:paraId="0000002B">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Configuration Packages:</w:t>
      </w:r>
      <w:r w:rsidDel="00000000" w:rsidR="00000000" w:rsidRPr="00000000">
        <w:rPr>
          <w:rFonts w:ascii="Google Sans Text" w:cs="Google Sans Text" w:eastAsia="Google Sans Text" w:hAnsi="Google Sans Text"/>
          <w:color w:val="1b1c1d"/>
          <w:rtl w:val="0"/>
        </w:rPr>
        <w:t xml:space="preserve"> Centralized, shareable configurations to enforce consistency across the ecosystem. This includes @highradius_core_ui/eslint_config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@highradius_core_ui/prettier_config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@highradius_core_ui/webpack_config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@highradius_core_ui/material_ui_config.</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C">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Core UI Library:</w:t>
      </w:r>
      <w:r w:rsidDel="00000000" w:rsidR="00000000" w:rsidRPr="00000000">
        <w:rPr>
          <w:rFonts w:ascii="Google Sans Text" w:cs="Google Sans Text" w:eastAsia="Google Sans Text" w:hAnsi="Google Sans Text"/>
          <w:color w:val="1b1c1d"/>
          <w:rtl w:val="0"/>
        </w:rPr>
        <w:t xml:space="preserve"> The @highradius_core_ui/core package, containing a comprehensive library of atomic and composite components (e.g., Button, Input, Card) built upon Material UI and the shared HiRa Theme.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D">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Base Component Libraries:</w:t>
      </w:r>
      <w:r w:rsidDel="00000000" w:rsidR="00000000" w:rsidRPr="00000000">
        <w:rPr>
          <w:rFonts w:ascii="Google Sans Text" w:cs="Google Sans Text" w:eastAsia="Google Sans Text" w:hAnsi="Google Sans Text"/>
          <w:color w:val="1b1c1d"/>
          <w:rtl w:val="0"/>
        </w:rPr>
        <w:t xml:space="preserve"> Foundational, un-opinionated wrappers for complex third-party libraries. The primary example is @highradius_core_ui/grid, which provides the basic AG Grid setup, theming integration, and common, reusable cell renderers.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E">
      <w:pPr>
        <w:numPr>
          <w:ilvl w:val="1"/>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Documentation Applications:</w:t>
      </w:r>
      <w:r w:rsidDel="00000000" w:rsidR="00000000" w:rsidRPr="00000000">
        <w:rPr>
          <w:rFonts w:ascii="Google Sans Text" w:cs="Google Sans Text" w:eastAsia="Google Sans Text" w:hAnsi="Google Sans Text"/>
          <w:color w:val="1b1c1d"/>
          <w:rtl w:val="0"/>
        </w:rPr>
        <w:t xml:space="preserve"> Dedicated applications for developer support and knowledge sharing. This includes apps/storybook for interactive component visualization and isolated development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apps/docs, a comprehensive portal for architectural guides, contribution guidelines, and decision logs, built with a modern framework like Next.js or Docusaurus.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The highradius_aps_ui Monorepo: The Application &amp; Feature Layer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2">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Mandate:</w:t>
      </w:r>
      <w:r w:rsidDel="00000000" w:rsidR="00000000" w:rsidRPr="00000000">
        <w:rPr>
          <w:rFonts w:ascii="Google Sans Text" w:cs="Google Sans Text" w:eastAsia="Google Sans Text" w:hAnsi="Google Sans Text"/>
          <w:color w:val="1b1c1d"/>
          <w:rtl w:val="0"/>
        </w:rPr>
        <w:t xml:space="preserve"> To house product-specific applications and complex, feature-rich components that encapsulate significant business logic. This monorepo is the primary consumer of the packages provided by highradius_core_ui.</w:t>
      </w:r>
    </w:p>
    <w:p w:rsidR="00000000" w:rsidDel="00000000" w:rsidP="00000000" w:rsidRDefault="00000000" w:rsidRPr="00000000" w14:paraId="00000033">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Contents:</w:t>
      </w:r>
    </w:p>
    <w:p w:rsidR="00000000" w:rsidDel="00000000" w:rsidP="00000000" w:rsidRDefault="00000000" w:rsidRPr="00000000" w14:paraId="00000034">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Advanced Component Libraries:</w:t>
      </w:r>
      <w:r w:rsidDel="00000000" w:rsidR="00000000" w:rsidRPr="00000000">
        <w:rPr>
          <w:rFonts w:ascii="Google Sans Text" w:cs="Google Sans Text" w:eastAsia="Google Sans Text" w:hAnsi="Google Sans Text"/>
          <w:color w:val="1b1c1d"/>
          <w:rtl w:val="0"/>
        </w:rPr>
        <w:t xml:space="preserve"> These packages extend the base components from the core platform with application-specific intelligence. The flagship example is @highradius_aps_ui/grid, which imports the base grid and enhances it with DSL integration, extensive state caching, and API connectivity.</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35">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Data Management Packages:</w:t>
      </w:r>
      <w:r w:rsidDel="00000000" w:rsidR="00000000" w:rsidRPr="00000000">
        <w:rPr>
          <w:rFonts w:ascii="Google Sans Text" w:cs="Google Sans Text" w:eastAsia="Google Sans Text" w:hAnsi="Google Sans Text"/>
          <w:color w:val="1b1c1d"/>
          <w:rtl w:val="0"/>
        </w:rPr>
        <w:t xml:space="preserve"> Centralized logic for state management and data fetching. This includes @highradius_aps_ui/redux_config for the central Redux store setup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@highradius_aps_ui/data_cache for the sophisticated, multi-layered caching strategy designed to manage API responses and application state.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36">
      <w:pPr>
        <w:numPr>
          <w:ilvl w:val="1"/>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Business-Specific Components:</w:t>
      </w:r>
      <w:r w:rsidDel="00000000" w:rsidR="00000000" w:rsidRPr="00000000">
        <w:rPr>
          <w:rFonts w:ascii="Google Sans Text" w:cs="Google Sans Text" w:eastAsia="Google Sans Text" w:hAnsi="Google Sans Text"/>
          <w:color w:val="1b1c1d"/>
          <w:rtl w:val="0"/>
        </w:rPr>
        <w:t xml:space="preserve"> Components with tightly coupled business logic that are specific to a particular application's domain, such as the Parametric Search component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and other advanced components identified in the target list.</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The highradius_ui_config Monorepo: Governance &amp; Cross-Cutting Concerns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A">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Mandate:</w:t>
      </w:r>
      <w:r w:rsidDel="00000000" w:rsidR="00000000" w:rsidRPr="00000000">
        <w:rPr>
          <w:rFonts w:ascii="Google Sans Text" w:cs="Google Sans Text" w:eastAsia="Google Sans Text" w:hAnsi="Google Sans Text"/>
          <w:color w:val="1b1c1d"/>
          <w:rtl w:val="0"/>
        </w:rPr>
        <w:t xml:space="preserve"> While less detailed in the source plans, the naming convention implies this monorepo's role is to manage global configurations that transcend the boundaries of the platform and application layers. It serves as a central point of control for environment-specific settings and cross-repository orchestration.</w:t>
      </w:r>
    </w:p>
    <w:p w:rsidR="00000000" w:rsidDel="00000000" w:rsidP="00000000" w:rsidRDefault="00000000" w:rsidRPr="00000000" w14:paraId="0000003B">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Contents (Inferred):</w:t>
      </w:r>
    </w:p>
    <w:p w:rsidR="00000000" w:rsidDel="00000000" w:rsidP="00000000" w:rsidRDefault="00000000" w:rsidRPr="00000000" w14:paraId="0000003C">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Environment-specific configurations, such as .env files or deployment manifests for different stages (development, staging, production).</w:t>
      </w:r>
    </w:p>
    <w:p w:rsidR="00000000" w:rsidDel="00000000" w:rsidP="00000000" w:rsidRDefault="00000000" w:rsidRPr="00000000" w14:paraId="0000003D">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Global feature flag definitions that may be consumed by both highradius_core_ui and highradius_aps_ui.</w:t>
      </w:r>
    </w:p>
    <w:p w:rsidR="00000000" w:rsidDel="00000000" w:rsidP="00000000" w:rsidRDefault="00000000" w:rsidRPr="00000000" w14:paraId="0000003E">
      <w:pPr>
        <w:numPr>
          <w:ilvl w:val="1"/>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Cross-repository scripts, CI/CD pipeline templates, or other orchestration logic that governs the entire frontend ecosystem.</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2.4 Architectural Implications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explicit naming convention that distinguishes @highradius_core_ui/grid from @highradius_aps_ui/grid reveals a deliberate and highly effective "Wrapper-Extension" architectural pattern. This pattern is fundamental to the scalability and maintainability of the component ecosystem.</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initial plan calls for the creation of @highradius_core_ui/grid.</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Its responsibilities are strictly foundational and presentational: it handles the installation of the AG Grid library, applies the consistent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HiRa theme, and provides a set of generic, reusable cell renderers for common data types like booleans, datetimes, and text. This package is intentionally "dumb," meaning it contains no business logic or awareness of application-specific state.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Subsequently, the plan details the creation of a separate package, @highradius_aps_ui/grid.</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Critically, its first task is to import and build upon the base component from</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@highradius_core_ui/grid. All subsequent tasks for this package involve layering application-specific intelligence on top of that foundation. This includes integrating with a DSL for dynamic configuration, connecting to APIs for data fetching, and implementing the extensive Redux-based caching for a multitude of user interactions like sorting, filtering, and row selection.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a classic and powerful pattern where a generic, presentational base component is wrapped by a "smart" container component. The base component handles the "how it looks," while the smart wrapper handles the "how it works," including state management, data fetching, and business logic. This separation is paramount for scalability. It allows the core UI platform (highradius_core_ui) to remain lean, stable, and focused on universal UI concerns. Meanwhile, different application teams can create their own specialized, "advanced" versions of components within highradius_aps_ui, tailored to their specific needs, without polluting or destabilizing the core library. This pattern provides a clear and repeatable blueprint for onboarding the entire list of target components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in a clean and maintainable fashion.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Figure 2.1: Component Wrapper-Extension Pattern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0b57d0"/>
          <w:u w:val="single"/>
        </w:rPr>
      </w:pPr>
      <w:hyperlink r:id="rId7">
        <w:r w:rsidDel="00000000" w:rsidR="00000000" w:rsidRPr="00000000">
          <w:rPr>
            <w:rFonts w:ascii="Google Sans Text" w:cs="Google Sans Text" w:eastAsia="Google Sans Text" w:hAnsi="Google Sans Text"/>
            <w:b w:val="1"/>
            <w:color w:val="0b57d0"/>
            <w:u w:val="single"/>
            <w:rtl w:val="0"/>
          </w:rPr>
          <w:t xml:space="preserve">Click to view diagram in draw.io</w:t>
        </w:r>
      </w:hyperlink>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i w:val="1"/>
          <w:color w:val="1b1c1d"/>
          <w:rtl w:val="0"/>
        </w:rPr>
        <w:t xml:space="preserve">This diagram should show a box for @highradius_core_ui/grid labeled "Base Component (Presentational)" containing items like "Theming" and "Generic Renderers". An outer box labeled @highradius_aps_ui/grid ("Smart Component") should wrap the base component, adding layers for "DSL Integration," "API Logic," and "Redux State Caching."</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color w:val="1b1c1d"/>
          <w:rtl w:val="0"/>
        </w:rPr>
        <w:t xml:space="preserve">Table 2.1: Monorepo Package Distribution and Responsibilities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Package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Designated Monorepo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Primary Responsibility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Key Dependencies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Package Type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@highradius_core_ui/eslint_config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highradius_core_ui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Centralized ESLint rules for code quality.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eslint, typescript-eslint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Configuration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@highradius_core_ui/prettier_config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highradius_core_ui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Centralized Prettier rules for code formatting.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prettier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Configuration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@highradius_core_ui/webpack_config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highradius_core_ui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Reusable Webpack configurations for builds.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webpack, babel-loader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Configuration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@highradius_core_ui/material_ui_config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highradius_core_ui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Centralized "HiRa Theme" for Material UI.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@mui/material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Configuration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@highradius_core_ui/core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highradius_core_ui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Foundational library of atomic UI components.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@mui/material, react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UI Library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@highradius_core_ui/grid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highradius_core_ui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Base AG Grid wrapper for theming and renderers.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ag-grid-react, react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UI Library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@highradius_aps_ui/redux_config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highradius_aps_ui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Centralized Redux Toolkit store configuration.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@reduxjs/toolkit, react-redux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Data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@highradius_aps_ui/data_cache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highradius_aps_ui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Advanced API and application data caching logic.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@reduxjs/toolkit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Data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@highradius_aps_ui/grid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highradius_aps_ui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Advanced AG Grid with DSL, caching, and API logic.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@highradius_core_ui/grid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UI Library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apps/storybook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highradius_core_ui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Interactive component documentation portal.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storybook, react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apps/docs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highradius_core_ui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Project-level architectural documentation site.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next, react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Application</w:t>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3: High-Level Plan (HLP): Core Infrastructure and Services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outlines the strategic pillars of the core infrastructure and shared services that will support all application development within the new ecosystem. These initiatives represent the "what" and "why" of the foundational investments being made.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Development, Build, and Deployment Ecosystem</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2">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establish a state-of-the-art, automated infrastructure that maximizes developer productivity, enforces quality, and ensures the reliability and predictability of software releases.</w:t>
      </w:r>
    </w:p>
    <w:p w:rsidR="00000000" w:rsidDel="00000000" w:rsidP="00000000" w:rsidRDefault="00000000" w:rsidRPr="00000000" w14:paraId="00000093">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Initiatives:</w:t>
      </w:r>
    </w:p>
    <w:p w:rsidR="00000000" w:rsidDel="00000000" w:rsidP="00000000" w:rsidRDefault="00000000" w:rsidRPr="00000000" w14:paraId="00000094">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Monorepo Management:</w:t>
      </w:r>
      <w:r w:rsidDel="00000000" w:rsidR="00000000" w:rsidRPr="00000000">
        <w:rPr>
          <w:rFonts w:ascii="Google Sans Text" w:cs="Google Sans Text" w:eastAsia="Google Sans Text" w:hAnsi="Google Sans Text"/>
          <w:color w:val="1b1c1d"/>
          <w:rtl w:val="0"/>
        </w:rPr>
        <w:t xml:space="preserve"> The ecosystem will leverage Turborepo for its intelligent, high-performance build system. Turborepo's remote caching will be configured to share build artifacts across developer machines and CI/CD environments, drastically reducing build times. Dependency management will be handled by Yarn v4, utilizing its modern Plug'n'Play (PnP) feature for faster installations and more reliable dependency resolution.</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95">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Developer Workflow Standardization:</w:t>
      </w:r>
      <w:r w:rsidDel="00000000" w:rsidR="00000000" w:rsidRPr="00000000">
        <w:rPr>
          <w:rFonts w:ascii="Google Sans Text" w:cs="Google Sans Text" w:eastAsia="Google Sans Text" w:hAnsi="Google Sans Text"/>
          <w:color w:val="1b1c1d"/>
          <w:rtl w:val="0"/>
        </w:rPr>
        <w:t xml:space="preserve"> A suite of Git hooks will be implemented to automate and enforce quality standards at the earliest possible stage. This includes using Husky to manage the hooks, Lint Staged to run linters only on changed files, Commitlint to enforce conventional commit message formats, and Commitizen to provide an interactive CLI for crafting compliant commits. This suite ensures a consistent and high-quality codebase before it ever reaches the central repository.</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96">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Automated CI/CD:</w:t>
      </w:r>
      <w:r w:rsidDel="00000000" w:rsidR="00000000" w:rsidRPr="00000000">
        <w:rPr>
          <w:rFonts w:ascii="Google Sans Text" w:cs="Google Sans Text" w:eastAsia="Google Sans Text" w:hAnsi="Google Sans Text"/>
          <w:color w:val="1b1c1d"/>
          <w:rtl w:val="0"/>
        </w:rPr>
        <w:t xml:space="preserve"> Comprehensive CI/CD pipelines will be implemented using GitHub Actions. These pipelines will automate the entire release lifecycle, including building, testing, and deploying applications. Versioning and changelog generation will be fully automated using Semantic Release, which analyzes commit messages to determine version bumps and create detailed release notes, seamlessly integrated with Turborepo's workflow.</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97">
      <w:pPr>
        <w:numPr>
          <w:ilvl w:val="1"/>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Integrated Quality Gates:</w:t>
      </w:r>
      <w:r w:rsidDel="00000000" w:rsidR="00000000" w:rsidRPr="00000000">
        <w:rPr>
          <w:rFonts w:ascii="Google Sans Text" w:cs="Google Sans Text" w:eastAsia="Google Sans Text" w:hAnsi="Google Sans Text"/>
          <w:color w:val="1b1c1d"/>
          <w:rtl w:val="0"/>
        </w:rPr>
        <w:t xml:space="preserve"> To prevent performance and security regressions, automated quality checks will be embedded directly into the CI/CD process. This includes integrating Lighthouse CI to run performance audits on every pull request and fail builds that fall below established thresholds, as well as integrating static analysis security testing (SAST) tools to scan for vulnerabilities.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Figure 3.1: Automated CI/CD Pipeline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0b57d0"/>
          <w:u w:val="single"/>
        </w:rPr>
      </w:pPr>
      <w:hyperlink r:id="rId8">
        <w:r w:rsidDel="00000000" w:rsidR="00000000" w:rsidRPr="00000000">
          <w:rPr>
            <w:rFonts w:ascii="Google Sans Text" w:cs="Google Sans Text" w:eastAsia="Google Sans Text" w:hAnsi="Google Sans Text"/>
            <w:b w:val="1"/>
            <w:color w:val="0b57d0"/>
            <w:u w:val="single"/>
            <w:rtl w:val="0"/>
          </w:rPr>
          <w:t xml:space="preserve">Click to view diagram in draw.io</w:t>
        </w:r>
      </w:hyperlink>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i w:val="1"/>
          <w:color w:val="1b1c1d"/>
          <w:rtl w:val="0"/>
        </w:rPr>
        <w:t xml:space="preserve">This diagram should be a flowchart showing the CI/CD process. Start with "Developer Pushes Commit," leading to a "Pull Request" trigger. This branches into parallel jobs: "Lint &amp; Format," "Unit &amp; E2E Tests," and "Lighthouse CI." If all pass, it leads to "Merge to Main," which triggers "Semantic Release (Version &amp; Changelog)," followed by "Build &amp; Deploy," and finally "Publish to Storybook/Docs."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1"/>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The "HiRa" Unified Design System</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0">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create a single, authoritative source of truth for the user interface and user experience. This unified system will ensure brand consistency, accelerate development through component reuse, and enforce best practices for accessibility (A11y) and internationalization (i18n) from the ground up.</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A1">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Initiatives:</w:t>
      </w:r>
    </w:p>
    <w:p w:rsidR="00000000" w:rsidDel="00000000" w:rsidP="00000000" w:rsidRDefault="00000000" w:rsidRPr="00000000" w14:paraId="000000A2">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Centralized Theming:</w:t>
      </w:r>
      <w:r w:rsidDel="00000000" w:rsidR="00000000" w:rsidRPr="00000000">
        <w:rPr>
          <w:rFonts w:ascii="Google Sans Text" w:cs="Google Sans Text" w:eastAsia="Google Sans Text" w:hAnsi="Google Sans Text"/>
          <w:color w:val="1b1c1d"/>
          <w:rtl w:val="0"/>
        </w:rPr>
        <w:t xml:space="preserve"> A dedicated package, @highradius_core_ui/material_ui_config, will be created to define and export the official HiRa Theme. This theme, built using Material UI's createTheme() utility, will codify the entire design system, including color palettes, typography scales, spacing units, and breakpoints, ensuring a consistent look and feel across all applications.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A3">
      <w:pPr>
        <w:numPr>
          <w:ilvl w:val="1"/>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Core Component Library:</w:t>
      </w:r>
      <w:r w:rsidDel="00000000" w:rsidR="00000000" w:rsidRPr="00000000">
        <w:rPr>
          <w:rFonts w:ascii="Google Sans Text" w:cs="Google Sans Text" w:eastAsia="Google Sans Text" w:hAnsi="Google Sans Text"/>
          <w:color w:val="1b1c1d"/>
          <w:rtl w:val="0"/>
        </w:rPr>
        <w:t xml:space="preserve"> A comprehensive library of foundational UI components will be developed within the @highradius_core_ui/core package. This library will consist of atomic components (e.g., Button, Input, Checkbox) and composite components (e.g., Card, Modal) that are built upon Material UI and directly consume the centralized HiRa Theme. This ensures that all UI elements are visually consistent and adhere to the established design language.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Centralized State and Data Caching Architecture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7">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establish a robust, predictable, and performant pattern for managing application state and API data. The architecture places a strong emphasis on optimizing data retrieval and preserving user context to create a fluid and responsive user experience.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A8">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Initiatives:</w:t>
      </w:r>
    </w:p>
    <w:p w:rsidR="00000000" w:rsidDel="00000000" w:rsidP="00000000" w:rsidRDefault="00000000" w:rsidRPr="00000000" w14:paraId="000000A9">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Centralized Redux Store:</w:t>
      </w:r>
      <w:r w:rsidDel="00000000" w:rsidR="00000000" w:rsidRPr="00000000">
        <w:rPr>
          <w:rFonts w:ascii="Google Sans Text" w:cs="Google Sans Text" w:eastAsia="Google Sans Text" w:hAnsi="Google Sans Text"/>
          <w:color w:val="1b1c1d"/>
          <w:rtl w:val="0"/>
        </w:rPr>
        <w:t xml:space="preserve"> A shared Redux Toolkit configuration package, @highradius_aps_ui/redux_config, will be implemented. This package will export a pre-configured Redux store provider and establish standardized patterns for structuring state and merging reducers from various feature domains. This ensures a consistent approach to state management across all applications.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AA">
      <w:pPr>
        <w:numPr>
          <w:ilvl w:val="1"/>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Comprehensive Caching Strategy:</w:t>
      </w:r>
      <w:r w:rsidDel="00000000" w:rsidR="00000000" w:rsidRPr="00000000">
        <w:rPr>
          <w:rFonts w:ascii="Google Sans Text" w:cs="Google Sans Text" w:eastAsia="Google Sans Text" w:hAnsi="Google Sans Text"/>
          <w:color w:val="1b1c1d"/>
          <w:rtl w:val="0"/>
        </w:rPr>
        <w:t xml:space="preserve"> A dedicated data caching package, @highradius_aps_ui/data_cache, will be developed to implement a sophisticated caching layer that goes far beyond simple API response memoization. This strategy will include multiple layers of intelligent invalidation logic, including time-based expiration, navigation-aware invalidation (clearing or refreshing data when moving between related pages), and dynamic invalidation triggered by DSL flags from API responses or websocket events. It will also feature background data refresh capabilities to ensure data consistency without disruptive page reloads.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3.4 Documentation and Developer Knowledge Framework</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E">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create a world-class documentation ecosystem that serves as a living record of the architecture, empowers developers with the knowledge they need, reduces onboarding time for new team members, and fosters a culture of collaboration and shared ownership.</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AF">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Initiatives:</w:t>
      </w:r>
    </w:p>
    <w:p w:rsidR="00000000" w:rsidDel="00000000" w:rsidP="00000000" w:rsidRDefault="00000000" w:rsidRPr="00000000" w14:paraId="000000B0">
      <w:pPr>
        <w:numPr>
          <w:ilvl w:val="1"/>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Component-Level Documentation:</w:t>
      </w:r>
      <w:r w:rsidDel="00000000" w:rsidR="00000000" w:rsidRPr="00000000">
        <w:rPr>
          <w:rFonts w:ascii="Google Sans Text" w:cs="Google Sans Text" w:eastAsia="Google Sans Text" w:hAnsi="Google Sans Text"/>
          <w:color w:val="1b1c1d"/>
          <w:rtl w:val="0"/>
        </w:rPr>
        <w:t xml:space="preserve"> Storybook will be established as the primary tool for component documentation. A dedicated apps/storybook application will be created within the highradius_core_ui monorepo to provide an interactive "component playground." Every UI component will have corresponding stories that document its props, states, and usage examples, enabling isolated development and visual regression testing.</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B1">
      <w:pPr>
        <w:numPr>
          <w:ilvl w:val="1"/>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Project-Level Documentation:</w:t>
      </w:r>
      <w:r w:rsidDel="00000000" w:rsidR="00000000" w:rsidRPr="00000000">
        <w:rPr>
          <w:rFonts w:ascii="Google Sans Text" w:cs="Google Sans Text" w:eastAsia="Google Sans Text" w:hAnsi="Google Sans Text"/>
          <w:color w:val="1b1c1d"/>
          <w:rtl w:val="0"/>
        </w:rPr>
        <w:t xml:space="preserve"> A dedicated documentation portal, apps/docs, will be set up using a modern static site generator like Docusaurus or Next.js. This site will house comprehensive project-level information, including in-depth architectural diagrams and decision logs, detailed contribution guidelines, API documentation (e.g., generated with TypeDoc), and tutorials for common development tasks.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4: Low-Level Plan (LLP): Foundational Package Implementation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provides the detailed, actionable implementation plan for creating the core, reusable packages within the highradius_core_ui monorepo. These packages form the stable foundation of the entire ecosystem.</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Implementation of Configuration Packages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create and export centralized configurations for linting, formatting, theming, and building, thereby ensuring absolute consistency and adherence to standards across all projects in the monorepo ecosystem.</w:t>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LLP Task Breakdown:</w:t>
      </w:r>
    </w:p>
    <w:p w:rsidR="00000000" w:rsidDel="00000000" w:rsidP="00000000" w:rsidRDefault="00000000" w:rsidRPr="00000000" w14:paraId="000000BB">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ESLint (@highradius_core_ui/eslint_config):</w:t>
      </w:r>
    </w:p>
    <w:p w:rsidR="00000000" w:rsidDel="00000000" w:rsidP="00000000" w:rsidRDefault="00000000" w:rsidRPr="00000000" w14:paraId="000000BC">
      <w:pPr>
        <w:numPr>
          <w:ilvl w:val="2"/>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Create a new package at packages/configs/eslint-config.</w:t>
      </w:r>
    </w:p>
    <w:p w:rsidR="00000000" w:rsidDel="00000000" w:rsidP="00000000" w:rsidRDefault="00000000" w:rsidRPr="00000000" w14:paraId="000000BD">
      <w:pPr>
        <w:numPr>
          <w:ilvl w:val="2"/>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Install ESLint and relevant plugins (e.g., @typescript-eslint/parser, eslint-plugin-react).</w:t>
      </w:r>
    </w:p>
    <w:p w:rsidR="00000000" w:rsidDel="00000000" w:rsidP="00000000" w:rsidRDefault="00000000" w:rsidRPr="00000000" w14:paraId="000000BE">
      <w:pPr>
        <w:numPr>
          <w:ilvl w:val="2"/>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Define a comprehensive set of linting rules covering code quality, best practices, and potential errors.</w:t>
      </w:r>
    </w:p>
    <w:p w:rsidR="00000000" w:rsidDel="00000000" w:rsidP="00000000" w:rsidRDefault="00000000" w:rsidRPr="00000000" w14:paraId="000000BF">
      <w:pPr>
        <w:numPr>
          <w:ilvl w:val="2"/>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Export the configuration object from the package's main entry point for consumption by other projects.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C0">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Prettier (@highradius_core_ui/prettier_config):</w:t>
      </w:r>
    </w:p>
    <w:p w:rsidR="00000000" w:rsidDel="00000000" w:rsidP="00000000" w:rsidRDefault="00000000" w:rsidRPr="00000000" w14:paraId="000000C1">
      <w:pPr>
        <w:numPr>
          <w:ilvl w:val="2"/>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Create a new package at packages/configs/prettier-config.</w:t>
      </w:r>
    </w:p>
    <w:p w:rsidR="00000000" w:rsidDel="00000000" w:rsidP="00000000" w:rsidRDefault="00000000" w:rsidRPr="00000000" w14:paraId="000000C2">
      <w:pPr>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Define the project's code formatting rules (e.g., printWidth, tabWidth, semi) in a configuration file.</w:t>
      </w:r>
    </w:p>
    <w:p w:rsidR="00000000" w:rsidDel="00000000" w:rsidP="00000000" w:rsidRDefault="00000000" w:rsidRPr="00000000" w14:paraId="000000C3">
      <w:pPr>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Export the configuration for use in other package.json files and IDE integrations.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C4">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Webpack (@highradius_core_ui/webpack_config):</w:t>
      </w:r>
    </w:p>
    <w:p w:rsidR="00000000" w:rsidDel="00000000" w:rsidP="00000000" w:rsidRDefault="00000000" w:rsidRPr="00000000" w14:paraId="000000C5">
      <w:pPr>
        <w:numPr>
          <w:ilvl w:val="2"/>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Create a new package at packages/configs/webpack-config.</w:t>
      </w:r>
    </w:p>
    <w:p w:rsidR="00000000" w:rsidDel="00000000" w:rsidP="00000000" w:rsidRDefault="00000000" w:rsidRPr="00000000" w14:paraId="000000C6">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Develop modular and reusable Webpack configuration functions (e.g., createDevelopmentConfig, createProductionConfig).</w:t>
      </w:r>
    </w:p>
    <w:p w:rsidR="00000000" w:rsidDel="00000000" w:rsidP="00000000" w:rsidRDefault="00000000" w:rsidRPr="00000000" w14:paraId="000000C7">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Create separate configuration modules for common loaders (Babel, CSS), plugins, and optimization settings.</w:t>
      </w:r>
    </w:p>
    <w:p w:rsidR="00000000" w:rsidDel="00000000" w:rsidP="00000000" w:rsidRDefault="00000000" w:rsidRPr="00000000" w14:paraId="000000C8">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Export these functions to be imported and composed by individual applications in their webpack.config.js files.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C9">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Material UI (@highradius_core_ui/material_ui_config):</w:t>
      </w:r>
    </w:p>
    <w:p w:rsidR="00000000" w:rsidDel="00000000" w:rsidP="00000000" w:rsidRDefault="00000000" w:rsidRPr="00000000" w14:paraId="000000CA">
      <w:pPr>
        <w:numPr>
          <w:ilvl w:val="2"/>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Create a new package at packages/configs/material-ui-config.</w:t>
      </w:r>
    </w:p>
    <w:p w:rsidR="00000000" w:rsidDel="00000000" w:rsidP="00000000" w:rsidRDefault="00000000" w:rsidRPr="00000000" w14:paraId="000000CB">
      <w:pPr>
        <w:numPr>
          <w:ilvl w:val="2"/>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Use Material UI's createTheme() function to define the HiRa Theme, specifying the primary and secondary color palettes, typography scales, spacing units, and component overrides.</w:t>
      </w:r>
    </w:p>
    <w:p w:rsidR="00000000" w:rsidDel="00000000" w:rsidP="00000000" w:rsidRDefault="00000000" w:rsidRPr="00000000" w14:paraId="000000CC">
      <w:pPr>
        <w:numPr>
          <w:ilvl w:val="2"/>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Export the theme object, a custom ThemeProvider component that wraps MUI's provider, and a COLORS object for direct use of palette colors.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Implementation of the Core UI Package (@highradius_core_ui/core)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develop, document, and export a comprehensive set of foundational, reusable UI components that are fully integrated with the HiRa Theme.</w:t>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LLP Task Breakdown:</w:t>
      </w:r>
    </w:p>
    <w:p w:rsidR="00000000" w:rsidDel="00000000" w:rsidP="00000000" w:rsidRDefault="00000000" w:rsidRPr="00000000" w14:paraId="000000D2">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Create a new package at packages/ui/core named @highradius_core_ui/core.</w:t>
      </w:r>
    </w:p>
    <w:p w:rsidR="00000000" w:rsidDel="00000000" w:rsidP="00000000" w:rsidRDefault="00000000" w:rsidRPr="00000000" w14:paraId="000000D3">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Add @highradius_core_ui/material_ui_config as a dependency to integrate the central theme.</w:t>
      </w:r>
    </w:p>
    <w:p w:rsidR="00000000" w:rsidDel="00000000" w:rsidP="00000000" w:rsidRDefault="00000000" w:rsidRPr="00000000" w14:paraId="000000D4">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Systematically develop the atomic and composite components identified in the target component list, such as Button, Input, Checkbox, Card, and Modal.</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D5">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Ensure every component is exported from the package's main entry point for easy consumption by other projects and applications.</w:t>
      </w:r>
    </w:p>
    <w:p w:rsidR="00000000" w:rsidDel="00000000" w:rsidP="00000000" w:rsidRDefault="00000000" w:rsidRPr="00000000" w14:paraId="000000D6">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For each component developed, create a corresponding .stories.tsx file. These stories must cover all relevant props, states (e.g., disabled, loading, error), and usage scenarios to provide comprehensive documentation within the Storybook application.</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Implementation of the Core Grid Package (@highradius_core_ui/grid)</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create a foundational AG Grid wrapper component that encapsulates initial setup, applies the standard HiRa Theme, and provides a set of common, reusable cell renderers.</w:t>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LLP Task Breakdown:</w:t>
      </w:r>
    </w:p>
    <w:p w:rsidR="00000000" w:rsidDel="00000000" w:rsidP="00000000" w:rsidRDefault="00000000" w:rsidRPr="00000000" w14:paraId="000000DC">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Create a new package at packages/grid named @highradius_core_ui/grid.</w:t>
      </w:r>
    </w:p>
    <w:p w:rsidR="00000000" w:rsidDel="00000000" w:rsidP="00000000" w:rsidRDefault="00000000" w:rsidRPr="00000000" w14:paraId="000000DD">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Install ag-grid-community, ag-grid-enterprise, and ag-grid-react as dependencies.</w:t>
      </w:r>
    </w:p>
    <w:p w:rsidR="00000000" w:rsidDel="00000000" w:rsidP="00000000" w:rsidRDefault="00000000" w:rsidRPr="00000000" w14:paraId="000000DE">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Create a main Grid component that wraps the AgGridReact component.</w:t>
      </w:r>
    </w:p>
    <w:p w:rsidR="00000000" w:rsidDel="00000000" w:rsidP="00000000" w:rsidRDefault="00000000" w:rsidRPr="00000000" w14:paraId="000000DF">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Import the theme from @highradius_core_ui/material_ui_config and apply the relevant AG Grid theme class (e.g., ag-theme-material) along with custom CSS overrides to ensure the grid's styling is consistent with the HiRa design system.</w:t>
      </w:r>
    </w:p>
    <w:p w:rsidR="00000000" w:rsidDel="00000000" w:rsidP="00000000" w:rsidRDefault="00000000" w:rsidRPr="00000000" w14:paraId="000000E0">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Develop and export a set of custom cell renderer components for common data types:</w:t>
      </w:r>
    </w:p>
    <w:p w:rsidR="00000000" w:rsidDel="00000000" w:rsidP="00000000" w:rsidRDefault="00000000" w:rsidRPr="00000000" w14:paraId="000000E1">
      <w:pPr>
        <w:numPr>
          <w:ilvl w:val="2"/>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BooleanDisplayRenderer: To render boolean values consistently (e.g., as icons or styled text).</w:t>
      </w:r>
    </w:p>
    <w:p w:rsidR="00000000" w:rsidDel="00000000" w:rsidP="00000000" w:rsidRDefault="00000000" w:rsidRPr="00000000" w14:paraId="000000E2">
      <w:pPr>
        <w:numPr>
          <w:ilvl w:val="2"/>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DateTimeDisplayRenderer: To format date and time values according to application standards.</w:t>
      </w:r>
    </w:p>
    <w:p w:rsidR="00000000" w:rsidDel="00000000" w:rsidP="00000000" w:rsidRDefault="00000000" w:rsidRPr="00000000" w14:paraId="000000E3">
      <w:pPr>
        <w:numPr>
          <w:ilvl w:val="2"/>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TextDisplayRenderer: To handle text display, including features like automatic tooltips for truncated content and support for text wrapping.</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5: High-Level Plan (HLP): Onboarding the Feature-Rich AG Grid Component</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outlines the strategic approach for developing and integrating the advanced AG Grid component into the highradius_aps_ui monorepo. This component serves as the primary use case for the advanced data and state management architecture.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Architectural Tenets: Performance, State Persistence, and Dynamic Configurability</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advanced grid component must be architected to satisfy three primary tenets. First, it must deliver high </w:t>
      </w:r>
      <w:r w:rsidDel="00000000" w:rsidR="00000000" w:rsidRPr="00000000">
        <w:rPr>
          <w:rFonts w:ascii="Google Sans Text" w:cs="Google Sans Text" w:eastAsia="Google Sans Text" w:hAnsi="Google Sans Text"/>
          <w:b w:val="1"/>
          <w:color w:val="1b1c1d"/>
          <w:rtl w:val="0"/>
        </w:rPr>
        <w:t xml:space="preserve">performance</w:t>
      </w:r>
      <w:r w:rsidDel="00000000" w:rsidR="00000000" w:rsidRPr="00000000">
        <w:rPr>
          <w:rFonts w:ascii="Google Sans Text" w:cs="Google Sans Text" w:eastAsia="Google Sans Text" w:hAnsi="Google Sans Text"/>
          <w:color w:val="1b1c1d"/>
          <w:rtl w:val="0"/>
        </w:rPr>
        <w:t xml:space="preserve">, capable of efficiently rendering and interacting with large datasets without compromising UI responsiveness. Second, it must provide an unparalleled level of </w:t>
      </w:r>
      <w:r w:rsidDel="00000000" w:rsidR="00000000" w:rsidRPr="00000000">
        <w:rPr>
          <w:rFonts w:ascii="Google Sans Text" w:cs="Google Sans Text" w:eastAsia="Google Sans Text" w:hAnsi="Google Sans Text"/>
          <w:b w:val="1"/>
          <w:color w:val="1b1c1d"/>
          <w:rtl w:val="0"/>
        </w:rPr>
        <w:t xml:space="preserve">state persistence</w:t>
      </w:r>
      <w:r w:rsidDel="00000000" w:rsidR="00000000" w:rsidRPr="00000000">
        <w:rPr>
          <w:rFonts w:ascii="Google Sans Text" w:cs="Google Sans Text" w:eastAsia="Google Sans Text" w:hAnsi="Google Sans Text"/>
          <w:color w:val="1b1c1d"/>
          <w:rtl w:val="0"/>
        </w:rPr>
        <w:t xml:space="preserve">. This is the central and most critical requirement; the architecture must capture and restore the complete state of the grid as modified by the user. This includes not only API data but every granular UI interaction, such as column order, column widths, applied sorts and filters, current pagination page, page size, and row selections. The goal is to create a seamless experience where a user can navigate away from a page and return to find the grid in the exact state they left it.</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Third, the component must be</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dynamically configurable</w:t>
      </w:r>
      <w:r w:rsidDel="00000000" w:rsidR="00000000" w:rsidRPr="00000000">
        <w:rPr>
          <w:rFonts w:ascii="Google Sans Text" w:cs="Google Sans Text" w:eastAsia="Google Sans Text" w:hAnsi="Google Sans Text"/>
          <w:color w:val="1b1c1d"/>
          <w:rtl w:val="0"/>
        </w:rPr>
        <w:t xml:space="preserve">, allowing its features and structure to be defined declaratively rather than imperatively in code.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The Role of the Domain-Specific Language (DSL) in Grid Composition</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To achieve dynamic configurability, a Domain-Specific Language (DSL) will be the primary mechanism for defining a grid's composition. Instead of hard-coding column definitions, feature flags, and behaviors in the application, these will be supplied as a configuration object (the DSL). This approach decouples the grid's implementation from its usage, enabling several key advantages: backend services can dynamically control the presentation of data, feature flags can be toggled without frontend deployments, and a single grid component can be reused in myriad contexts with different configurations. A critical piece of this architecture will be a transformation layer within the advanced grid component responsible for parsing the incoming DSL and converting it into a valid AG Grid gridOptions configuration object.</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A Multi-Layered Caching Strategy for UI State and API Data</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grid's state persistence will be achieved through a sophisticated, multi-layered caching strategy managed by Redux. This strategy is composed of two distinct but complementary parts:</w:t>
      </w:r>
    </w:p>
    <w:p w:rsidR="00000000" w:rsidDel="00000000" w:rsidP="00000000" w:rsidRDefault="00000000" w:rsidRPr="00000000" w14:paraId="000000F5">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API Data Caching:</w:t>
      </w:r>
      <w:r w:rsidDel="00000000" w:rsidR="00000000" w:rsidRPr="00000000">
        <w:rPr>
          <w:rFonts w:ascii="Google Sans Text" w:cs="Google Sans Text" w:eastAsia="Google Sans Text" w:hAnsi="Google Sans Text"/>
          <w:color w:val="1b1c1d"/>
          <w:rtl w:val="0"/>
        </w:rPr>
        <w:t xml:space="preserve"> The raw data fetched from APIs to populate the grid will be stored in a dedicated slice of the Redux store. The @highradius_aps_ui/data_cache package will manage this layer, intercepting data requests and serving from the cache when possible to avoid redundant network calls on revisits. This layer is concerned with the grid's </w:t>
      </w:r>
      <w:r w:rsidDel="00000000" w:rsidR="00000000" w:rsidRPr="00000000">
        <w:rPr>
          <w:rFonts w:ascii="Google Sans Text" w:cs="Google Sans Text" w:eastAsia="Google Sans Text" w:hAnsi="Google Sans Text"/>
          <w:i w:val="1"/>
          <w:color w:val="1b1c1d"/>
          <w:rtl w:val="0"/>
        </w:rPr>
        <w:t xml:space="preserve">content</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F6">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UI State Caching:</w:t>
      </w:r>
      <w:r w:rsidDel="00000000" w:rsidR="00000000" w:rsidRPr="00000000">
        <w:rPr>
          <w:rFonts w:ascii="Google Sans Text" w:cs="Google Sans Text" w:eastAsia="Google Sans Text" w:hAnsi="Google Sans Text"/>
          <w:color w:val="1b1c1d"/>
          <w:rtl w:val="0"/>
        </w:rPr>
        <w:t xml:space="preserve"> A separate set of Redux state slices will be dedicated to persisting the grid's </w:t>
      </w:r>
      <w:r w:rsidDel="00000000" w:rsidR="00000000" w:rsidRPr="00000000">
        <w:rPr>
          <w:rFonts w:ascii="Google Sans Text" w:cs="Google Sans Text" w:eastAsia="Google Sans Text" w:hAnsi="Google Sans Text"/>
          <w:i w:val="1"/>
          <w:color w:val="1b1c1d"/>
          <w:rtl w:val="0"/>
        </w:rPr>
        <w:t xml:space="preserve">interaction state</w:t>
      </w:r>
      <w:r w:rsidDel="00000000" w:rsidR="00000000" w:rsidRPr="00000000">
        <w:rPr>
          <w:rFonts w:ascii="Google Sans Text" w:cs="Google Sans Text" w:eastAsia="Google Sans Text" w:hAnsi="Google Sans Text"/>
          <w:color w:val="1b1c1d"/>
          <w:rtl w:val="0"/>
        </w:rPr>
        <w:t xml:space="preserve">. Every user-driven modification—applying a column filter, changing the sort order, resizing a column, selecting a row, or applying a saved search—will trigger a Redux action to update this part of the store. This ensures that the user's specific view configuration is preserved independently of the underlying data.</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F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Figure 5.1: Multi-Layered Caching Architecture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0b57d0"/>
          <w:u w:val="single"/>
        </w:rPr>
      </w:pPr>
      <w:hyperlink r:id="rId9">
        <w:r w:rsidDel="00000000" w:rsidR="00000000" w:rsidRPr="00000000">
          <w:rPr>
            <w:rFonts w:ascii="Google Sans Text" w:cs="Google Sans Text" w:eastAsia="Google Sans Text" w:hAnsi="Google Sans Text"/>
            <w:b w:val="1"/>
            <w:color w:val="0b57d0"/>
            <w:u w:val="single"/>
            <w:rtl w:val="0"/>
          </w:rPr>
          <w:t xml:space="preserve">Click to view diagram in draw.io</w:t>
        </w:r>
      </w:hyperlink>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i w:val="1"/>
          <w:color w:val="1b1c1d"/>
          <w:rtl w:val="0"/>
        </w:rPr>
        <w:t xml:space="preserve">This diagram should show the "Advanced Grid Component" at the center. An arrow labeled "User Interaction (e.g., Sort, Filter)" points to the "Redux Store," specifically to a section labeled "UI State Cache (per component URN)." Another arrow from the component labeled "Data Request" goes to the "Data Cache Middleware." The middleware checks the "API Data Cache" (also in Redux). If data is present, it returns it to the component. If not, it proceeds to the "API Layer" to fetch data, which then populates both the component and the API Data Cache.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1"/>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5.4 Architectural Implications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requirement to cache every granular user interaction elevates the role of the Redux store far beyond that of a typical application state manager or API cache. In this architecture, Redux effectively becomes a "client-side database" for UI state. The sheer volume and frequency of updates—dispatching an action for every column resize, for instance—necessitate a highly structured and performant approach to state management.</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list of interactions to be cached is extensive, including column width, filters, sorting, pagination state, and row selections.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Simply storing this information in a global state is insufficient and would lead to state collisions between different grid instances across the application. This complexity is explicitly acknowledged in the plan for "UX Framework Changes," which calls for the creation of new Redux states to be stored within a "page context" and for a utility to reset cached data for a component identified by a unique "component URN".</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points to a necessary architectural pattern where the Redux state is structured not as a flat global store, but as a normalized or entity-based store, likely keyed by a unique identifier representing the page or component instance. This contextId or URN would be used in actions and selectors to ensure that state modifications and retrievals are correctly scoped to the specific grid instance the user is interacting with. This design imposes a significant architectural discipline. The implementation will require careful consideration of state shape, extensive use of memoized selectors (e.g., with Reselect) to prevent unnecessary re-renders, and potentially leveraging middleware like Redux Persist to selectively save parts of this UI state to session or local storage, ensuring persistence across browser sessions. The performance implications of frequent state updates and the overall size of the state tree must be continuously monitored and optimized.</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6: Low-Level Plan (LLP): Advanced Component and Caching Implementation</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provides the detailed implementation plan for the advanced components and caching logic residing within the highradius_aps_ui monorepo.</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6.1 Implementation of the Advanced Data Caching Package (@highradius_aps_ui/data_cache)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9">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build the core logic for the multi-layered caching strategy that will manage API data and application state with intelligent invalidation and refresh mechanisms.</w:t>
      </w:r>
    </w:p>
    <w:p w:rsidR="00000000" w:rsidDel="00000000" w:rsidP="00000000" w:rsidRDefault="00000000" w:rsidRPr="00000000" w14:paraId="0000010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LLP Task Breakdown:</w:t>
      </w:r>
    </w:p>
    <w:p w:rsidR="00000000" w:rsidDel="00000000" w:rsidP="00000000" w:rsidRDefault="00000000" w:rsidRPr="00000000" w14:paraId="0000010B">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Create the new package @highradius_aps_ui/data_cache.</w:t>
      </w:r>
    </w:p>
    <w:p w:rsidR="00000000" w:rsidDel="00000000" w:rsidP="00000000" w:rsidRDefault="00000000" w:rsidRPr="00000000" w14:paraId="0000010C">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Establish Redux Toolkit (including RTK Query's caching capabilities where applicable, or custom slices) as the underlying storage mechanism.</w:t>
      </w:r>
    </w:p>
    <w:p w:rsidR="00000000" w:rsidDel="00000000" w:rsidP="00000000" w:rsidRDefault="00000000" w:rsidRPr="00000000" w14:paraId="0000010D">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Implement a utility to add timestamps to all cached data entries to enable time-based expiration logic.</w:t>
      </w:r>
    </w:p>
    <w:p w:rsidR="00000000" w:rsidDel="00000000" w:rsidP="00000000" w:rsidRDefault="00000000" w:rsidRPr="00000000" w14:paraId="0000010E">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Develop custom Redux middleware that intercepts outgoing data fetch actions. This middleware will check for valid, non-expired data in the cache and return it, preventing an unnecessary API call.</w:t>
      </w:r>
    </w:p>
    <w:p w:rsidR="00000000" w:rsidDel="00000000" w:rsidP="00000000" w:rsidRDefault="00000000" w:rsidRPr="00000000" w14:paraId="0000010F">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Implement a robust set of dynamic invalidation rules:</w:t>
      </w:r>
    </w:p>
    <w:p w:rsidR="00000000" w:rsidDel="00000000" w:rsidP="00000000" w:rsidRDefault="00000000" w:rsidRPr="00000000" w14:paraId="00000110">
      <w:pPr>
        <w:numPr>
          <w:ilvl w:val="2"/>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b w:val="1"/>
          <w:color w:val="1b1c1d"/>
          <w:rtl w:val="0"/>
        </w:rPr>
        <w:t xml:space="preserve">DSL Flag-Based:</w:t>
      </w:r>
      <w:r w:rsidDel="00000000" w:rsidR="00000000" w:rsidRPr="00000000">
        <w:rPr>
          <w:rFonts w:ascii="Google Sans Text" w:cs="Google Sans Text" w:eastAsia="Google Sans Text" w:hAnsi="Google Sans Text"/>
          <w:color w:val="1b1c1d"/>
          <w:rtl w:val="0"/>
        </w:rPr>
        <w:t xml:space="preserve"> Create logic (e.g., in another middleware) that listens for specific flags in API responses or websocket messages to trigger targeted cache invalidation.</w:t>
      </w:r>
    </w:p>
    <w:p w:rsidR="00000000" w:rsidDel="00000000" w:rsidP="00000000" w:rsidRDefault="00000000" w:rsidRPr="00000000" w14:paraId="00000111">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color w:val="1b1c1d"/>
          <w:rtl w:val="0"/>
        </w:rPr>
        <w:t xml:space="preserve">Time-Based:</w:t>
      </w:r>
      <w:r w:rsidDel="00000000" w:rsidR="00000000" w:rsidRPr="00000000">
        <w:rPr>
          <w:rFonts w:ascii="Google Sans Text" w:cs="Google Sans Text" w:eastAsia="Google Sans Text" w:hAnsi="Google Sans Text"/>
          <w:color w:val="1b1c1d"/>
          <w:rtl w:val="0"/>
        </w:rPr>
        <w:t xml:space="preserve"> Utilize the stored timestamps to automatically re-fetch data considered stale.</w:t>
      </w:r>
    </w:p>
    <w:p w:rsidR="00000000" w:rsidDel="00000000" w:rsidP="00000000" w:rsidRDefault="00000000" w:rsidRPr="00000000" w14:paraId="00000112">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color w:val="1b1c1d"/>
          <w:rtl w:val="0"/>
        </w:rPr>
        <w:t xml:space="preserve">Manual Triggers:</w:t>
      </w:r>
      <w:r w:rsidDel="00000000" w:rsidR="00000000" w:rsidRPr="00000000">
        <w:rPr>
          <w:rFonts w:ascii="Google Sans Text" w:cs="Google Sans Text" w:eastAsia="Google Sans Text" w:hAnsi="Google Sans Text"/>
          <w:color w:val="1b1c1d"/>
          <w:rtl w:val="0"/>
        </w:rPr>
        <w:t xml:space="preserve"> Export utility functions or actions that allow for programmatic, on-demand cache invalidation.</w:t>
      </w:r>
    </w:p>
    <w:p w:rsidR="00000000" w:rsidDel="00000000" w:rsidP="00000000" w:rsidRDefault="00000000" w:rsidRPr="00000000" w14:paraId="00000113">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Implement the concept of "page context" within the Redux store to associate cached data with specific views or pages.</w:t>
      </w:r>
    </w:p>
    <w:p w:rsidR="00000000" w:rsidDel="00000000" w:rsidP="00000000" w:rsidRDefault="00000000" w:rsidRPr="00000000" w14:paraId="00000114">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Develop navigation-based data refresh logic, where navigating from a list page to a detail page and back can intelligently trigger a refresh of the list data.</w:t>
      </w:r>
    </w:p>
    <w:p w:rsidR="00000000" w:rsidDel="00000000" w:rsidP="00000000" w:rsidRDefault="00000000" w:rsidRPr="00000000" w14:paraId="00000115">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Implement background data refresh capabilities. For example, upon a successful mutation (e.g., POST, PUT), trigger a background re-fetch of related list data to ensure consistency without a full page reload.</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6.2 Implementation of the Advanced Grid Package (@highradius_aps_ui/grid)</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9">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build the feature-rich, state-persistent AG Grid component that serves as the flagship of the new architecture.</w:t>
      </w:r>
    </w:p>
    <w:p w:rsidR="00000000" w:rsidDel="00000000" w:rsidP="00000000" w:rsidRDefault="00000000" w:rsidRPr="00000000" w14:paraId="0000011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LLP Task Breakdown:</w:t>
      </w:r>
    </w:p>
    <w:p w:rsidR="00000000" w:rsidDel="00000000" w:rsidP="00000000" w:rsidRDefault="00000000" w:rsidRPr="00000000" w14:paraId="0000011B">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Create the new package @highradius_aps_ui/grid.</w:t>
      </w:r>
    </w:p>
    <w:p w:rsidR="00000000" w:rsidDel="00000000" w:rsidP="00000000" w:rsidRDefault="00000000" w:rsidRPr="00000000" w14:paraId="0000011C">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Import the base Grid component from @highradius_core_ui/grid as the foundation.</w:t>
      </w:r>
    </w:p>
    <w:p w:rsidR="00000000" w:rsidDel="00000000" w:rsidP="00000000" w:rsidRDefault="00000000" w:rsidRPr="00000000" w14:paraId="0000011D">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Implement the transformation layer that accepts a DSL configuration object as a prop and converts it into a valid AG Grid gridOptions object.</w:t>
      </w:r>
    </w:p>
    <w:p w:rsidR="00000000" w:rsidDel="00000000" w:rsidP="00000000" w:rsidRDefault="00000000" w:rsidRPr="00000000" w14:paraId="0000011E">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Integrate with the application's data layer, using RTK Query or similar hooks to fetch data, leveraging the caching logic from @highradius_aps_ui/data_cache.</w:t>
      </w:r>
    </w:p>
    <w:p w:rsidR="00000000" w:rsidDel="00000000" w:rsidP="00000000" w:rsidRDefault="00000000" w:rsidRPr="00000000" w14:paraId="0000011F">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Implement and integrate core grid features, including:</w:t>
      </w:r>
    </w:p>
    <w:p w:rsidR="00000000" w:rsidDel="00000000" w:rsidP="00000000" w:rsidRDefault="00000000" w:rsidRPr="00000000" w14:paraId="00000120">
      <w:pPr>
        <w:numPr>
          <w:ilvl w:val="2"/>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b w:val="1"/>
          <w:color w:val="1b1c1d"/>
          <w:rtl w:val="0"/>
        </w:rPr>
        <w:t xml:space="preserve">Export:</w:t>
      </w:r>
      <w:r w:rsidDel="00000000" w:rsidR="00000000" w:rsidRPr="00000000">
        <w:rPr>
          <w:rFonts w:ascii="Google Sans Text" w:cs="Google Sans Text" w:eastAsia="Google Sans Text" w:hAnsi="Google Sans Text"/>
          <w:color w:val="1b1c1d"/>
          <w:rtl w:val="0"/>
        </w:rPr>
        <w:t xml:space="preserve"> Integrate AG Grid's native CSV/Excel export functionality.</w:t>
      </w:r>
    </w:p>
    <w:p w:rsidR="00000000" w:rsidDel="00000000" w:rsidP="00000000" w:rsidRDefault="00000000" w:rsidRPr="00000000" w14:paraId="00000121">
      <w:pPr>
        <w:numPr>
          <w:ilvl w:val="2"/>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color w:val="1b1c1d"/>
          <w:rtl w:val="0"/>
        </w:rPr>
        <w:t xml:space="preserve">Pagination:</w:t>
      </w:r>
      <w:r w:rsidDel="00000000" w:rsidR="00000000" w:rsidRPr="00000000">
        <w:rPr>
          <w:rFonts w:ascii="Google Sans Text" w:cs="Google Sans Text" w:eastAsia="Google Sans Text" w:hAnsi="Google Sans Text"/>
          <w:color w:val="1b1c1d"/>
          <w:rtl w:val="0"/>
        </w:rPr>
        <w:t xml:space="preserve"> Implement server-side or client-side pagination controls.</w:t>
      </w:r>
    </w:p>
    <w:p w:rsidR="00000000" w:rsidDel="00000000" w:rsidP="00000000" w:rsidRDefault="00000000" w:rsidRPr="00000000" w14:paraId="00000122">
      <w:pPr>
        <w:numPr>
          <w:ilvl w:val="2"/>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color w:val="1b1c1d"/>
          <w:rtl w:val="0"/>
        </w:rPr>
        <w:t xml:space="preserve">Bulk Actions:</w:t>
      </w:r>
      <w:r w:rsidDel="00000000" w:rsidR="00000000" w:rsidRPr="00000000">
        <w:rPr>
          <w:rFonts w:ascii="Google Sans Text" w:cs="Google Sans Text" w:eastAsia="Google Sans Text" w:hAnsi="Google Sans Text"/>
          <w:color w:val="1b1c1d"/>
          <w:rtl w:val="0"/>
        </w:rPr>
        <w:t xml:space="preserve"> Develop UI and logic for selecting multiple rows and performing actions on them.</w:t>
      </w:r>
    </w:p>
    <w:p w:rsidR="00000000" w:rsidDel="00000000" w:rsidP="00000000" w:rsidRDefault="00000000" w:rsidRPr="00000000" w14:paraId="00000123">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Integrate the Parametric Search component to provide advanced filtering capabilities.</w:t>
      </w:r>
    </w:p>
    <w:p w:rsidR="00000000" w:rsidDel="00000000" w:rsidP="00000000" w:rsidRDefault="00000000" w:rsidRPr="00000000" w14:paraId="00000124">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Implement the detailed Redux-backed persistence for all specified user interactions as defined in the caching matrix below.</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6.3 Implementation of the Parametric Search Component</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8">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build a reusable parametric (faceted) search component that provides advanced filtering capabilities and integrates seamlessly with the advanced grid.</w:t>
      </w:r>
    </w:p>
    <w:p w:rsidR="00000000" w:rsidDel="00000000" w:rsidP="00000000" w:rsidRDefault="00000000" w:rsidRPr="00000000" w14:paraId="00000129">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LLP Task Breakdown:</w:t>
      </w:r>
    </w:p>
    <w:p w:rsidR="00000000" w:rsidDel="00000000" w:rsidP="00000000" w:rsidRDefault="00000000" w:rsidRPr="00000000" w14:paraId="0000012A">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Create a ParametricSearchV2 component, likely presented within a popup or drawer.</w:t>
      </w:r>
    </w:p>
    <w:p w:rsidR="00000000" w:rsidDel="00000000" w:rsidP="00000000" w:rsidRDefault="00000000" w:rsidRPr="00000000" w14:paraId="0000012B">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Develop a dynamic rendering system that can display different input controls based on configuration, including a TextFieldRenderer and a DropdownRenderer.</w:t>
      </w:r>
    </w:p>
    <w:p w:rsidR="00000000" w:rsidDel="00000000" w:rsidP="00000000" w:rsidRDefault="00000000" w:rsidRPr="00000000" w14:paraId="0000012C">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Implement support for a variety of search operators (e.g., Contains, Starts With, Ends With, Equals, Greater Than).</w:t>
      </w:r>
    </w:p>
    <w:p w:rsidR="00000000" w:rsidDel="00000000" w:rsidP="00000000" w:rsidRDefault="00000000" w:rsidRPr="00000000" w14:paraId="0000012D">
      <w:pPr>
        <w:numPr>
          <w:ilvl w:val="1"/>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Develop the full feature set for managing user-defined filters, including the ability to </w:t>
      </w:r>
      <w:r w:rsidDel="00000000" w:rsidR="00000000" w:rsidRPr="00000000">
        <w:rPr>
          <w:rFonts w:ascii="Google Sans Text" w:cs="Google Sans Text" w:eastAsia="Google Sans Text" w:hAnsi="Google Sans Text"/>
          <w:b w:val="1"/>
          <w:color w:val="1b1c1d"/>
          <w:rtl w:val="0"/>
        </w:rPr>
        <w:t xml:space="preserve">Save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Edit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Delete</w:t>
      </w:r>
      <w:r w:rsidDel="00000000" w:rsidR="00000000" w:rsidRPr="00000000">
        <w:rPr>
          <w:rFonts w:ascii="Google Sans Text" w:cs="Google Sans Text" w:eastAsia="Google Sans Text" w:hAnsi="Google Sans Text"/>
          <w:color w:val="1b1c1d"/>
          <w:rtl w:val="0"/>
        </w:rPr>
        <w:t xml:space="preserve">, and set a </w:t>
      </w:r>
      <w:r w:rsidDel="00000000" w:rsidR="00000000" w:rsidRPr="00000000">
        <w:rPr>
          <w:rFonts w:ascii="Google Sans Text" w:cs="Google Sans Text" w:eastAsia="Google Sans Text" w:hAnsi="Google Sans Text"/>
          <w:b w:val="1"/>
          <w:color w:val="1b1c1d"/>
          <w:rtl w:val="0"/>
        </w:rPr>
        <w:t xml:space="preserve">Default</w:t>
      </w:r>
      <w:r w:rsidDel="00000000" w:rsidR="00000000" w:rsidRPr="00000000">
        <w:rPr>
          <w:rFonts w:ascii="Google Sans Text" w:cs="Google Sans Text" w:eastAsia="Google Sans Text" w:hAnsi="Google Sans Text"/>
          <w:color w:val="1b1c1d"/>
          <w:rtl w:val="0"/>
        </w:rPr>
        <w:t xml:space="preserve"> filter.</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6.4 Detailed Breakdown of User Interaction Caching Mechanisms</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1">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provide a clear and unambiguous specification for implementing the UI state persistence logic for the advanced grid.</w:t>
      </w:r>
    </w:p>
    <w:p w:rsidR="00000000" w:rsidDel="00000000" w:rsidP="00000000" w:rsidRDefault="00000000" w:rsidRPr="00000000" w14:paraId="00000132">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LLP Task Breakdown: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For each user interaction that requires persistence (Column Width, Filter, Sort, Pagination, Row Selection, Applied Saved Filter), the following implementation pattern will be followed:</w:t>
      </w:r>
    </w:p>
    <w:p w:rsidR="00000000" w:rsidDel="00000000" w:rsidP="00000000" w:rsidRDefault="00000000" w:rsidRPr="00000000" w14:paraId="00000133">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Define State Shape:</w:t>
      </w:r>
      <w:r w:rsidDel="00000000" w:rsidR="00000000" w:rsidRPr="00000000">
        <w:rPr>
          <w:rFonts w:ascii="Google Sans Text" w:cs="Google Sans Text" w:eastAsia="Google Sans Text" w:hAnsi="Google Sans Text"/>
          <w:color w:val="1b1c1d"/>
          <w:rtl w:val="0"/>
        </w:rPr>
        <w:t xml:space="preserve"> Determine the precise structure of the data that needs to be stored in the Redux state for that interaction (e.g., for column widths, a key-value map of {[columnId]: number}).</w:t>
      </w:r>
    </w:p>
    <w:p w:rsidR="00000000" w:rsidDel="00000000" w:rsidP="00000000" w:rsidRDefault="00000000" w:rsidRPr="00000000" w14:paraId="00000134">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Create Redux Logic:</w:t>
      </w:r>
      <w:r w:rsidDel="00000000" w:rsidR="00000000" w:rsidRPr="00000000">
        <w:rPr>
          <w:rFonts w:ascii="Google Sans Text" w:cs="Google Sans Text" w:eastAsia="Google Sans Text" w:hAnsi="Google Sans Text"/>
          <w:color w:val="1b1c1d"/>
          <w:rtl w:val="0"/>
        </w:rPr>
        <w:t xml:space="preserve"> Create Redux Toolkit actions and a slice (reducer) to handle updating this specific piece of state. Actions will expect a payload containing the new state and a contextId to ensure the update is applied to the correct grid instance.</w:t>
      </w:r>
    </w:p>
    <w:p w:rsidR="00000000" w:rsidDel="00000000" w:rsidP="00000000" w:rsidRDefault="00000000" w:rsidRPr="00000000" w14:paraId="00000135">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Dispatch on Event:</w:t>
      </w:r>
      <w:r w:rsidDel="00000000" w:rsidR="00000000" w:rsidRPr="00000000">
        <w:rPr>
          <w:rFonts w:ascii="Google Sans Text" w:cs="Google Sans Text" w:eastAsia="Google Sans Text" w:hAnsi="Google Sans Text"/>
          <w:color w:val="1b1c1d"/>
          <w:rtl w:val="0"/>
        </w:rPr>
        <w:t xml:space="preserve"> Within the @highradius_aps_ui/grid component, attach event handlers to the relevant AG Grid callbacks (e.g., onColumnResized, onFilterChanged). These handlers will dispatch the appropriate Redux action with the new state from the event object.</w:t>
      </w:r>
    </w:p>
    <w:p w:rsidR="00000000" w:rsidDel="00000000" w:rsidP="00000000" w:rsidRDefault="00000000" w:rsidRPr="00000000" w14:paraId="00000136">
      <w:pPr>
        <w:numPr>
          <w:ilvl w:val="1"/>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Select and Apply:</w:t>
      </w:r>
      <w:r w:rsidDel="00000000" w:rsidR="00000000" w:rsidRPr="00000000">
        <w:rPr>
          <w:rFonts w:ascii="Google Sans Text" w:cs="Google Sans Text" w:eastAsia="Google Sans Text" w:hAnsi="Google Sans Text"/>
          <w:color w:val="1b1c1d"/>
          <w:rtl w:val="0"/>
        </w:rPr>
        <w:t xml:space="preserve"> On initial render and subsequent re-renders, the component will use a memoized selector to retrieve the cached interaction state from Redux for its contextId. This state will then be used to configure the AG Grid instance via its imperative API or initial props, restoring it to the user's last known state.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6.1: Grid Interaction Caching Matrix</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User Interaction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Triggering AG Grid Event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Redux 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Action Payload Shape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Redux State Slice Path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Retrieval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Column Resizing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onColumnResized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gridState/setColumnWidths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contextId: string, widths: { [id: string]: number }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pages[contextId].grid.columnWidths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Selector selectGridColumnWidths(contextId) used in useEffect to apply state via gridApi.setColumnDefs().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Column Filtering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onFilterChanged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gridState/setFilterModel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contextId: string, filterModel: object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pages[contextId].grid.filterModel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Selector selectGridFilterModel(contextId) used to set the filterModel prop on the grid.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Column Sorting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onSortChanged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gridState/setSortModel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contextId: string, sortModel: object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pages[contextId].grid.sortModel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Selector selectGridSortModel(contextId) used to set the sortModel prop on the grid.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Pagination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onPaginationChanged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gridState/setPaginationState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contextId: string, page: number, size: number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pages[contextId].grid.pagination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Selectors for page and size used to set paginationPageSize and call gridApi.paginationGoToPage() on mount.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Row Selection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onSelectionChanged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gridState/setSelectedRows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contextId: string, selectedIds: string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pages[contextId].grid.selectedRowIds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Selector selectSelectedRowIds(contextId) used in onGridReady to iterate nodes and call node.setSelected(true).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Applied Saved Filter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Custom UI Event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gridState/setAppliedFilter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contextId: string, filterId: string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pages[contextId].grid.appliedFilterId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Selector selectAppliedFilterId(contextId) used to highlight the active saved filter in the UI.</w:t>
            </w:r>
          </w:p>
        </w:tc>
      </w:tr>
    </w:tbl>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7: Strategic Recommendations and Future Roadmap</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concluding section provides actionable recommendations based on the architectural analysis, highlights potential risks with corresponding mitigation strategies, and proposes a strategic roadmap for future development.</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7.1 Key Risks and Mitigation Strategies</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9">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Risk: React 19 Compatibility:</w:t>
      </w:r>
      <w:r w:rsidDel="00000000" w:rsidR="00000000" w:rsidRPr="00000000">
        <w:rPr>
          <w:rFonts w:ascii="Google Sans Text" w:cs="Google Sans Text" w:eastAsia="Google Sans Text" w:hAnsi="Google Sans Text"/>
          <w:color w:val="1b1c1d"/>
          <w:rtl w:val="0"/>
        </w:rPr>
        <w:t xml:space="preserve"> A proof-of-concept explicitly noted compatibility issues between React 19 and the current UX framework, describing the challenge of supporting backward compatibility as "difficult and complex".</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Forcing an immediate upgrade could destabilize the project and delay the delivery of core foundational elements.</w:t>
      </w:r>
    </w:p>
    <w:p w:rsidR="00000000" w:rsidDel="00000000" w:rsidP="00000000" w:rsidRDefault="00000000" w:rsidRPr="00000000" w14:paraId="0000016A">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Mitigation:</w:t>
      </w:r>
      <w:r w:rsidDel="00000000" w:rsidR="00000000" w:rsidRPr="00000000">
        <w:rPr>
          <w:rFonts w:ascii="Google Sans Text" w:cs="Google Sans Text" w:eastAsia="Google Sans Text" w:hAnsi="Google Sans Text"/>
          <w:color w:val="1b1c1d"/>
          <w:rtl w:val="0"/>
        </w:rPr>
        <w:t xml:space="preserve"> The upgrade to React 19 should be formally deferred until the core monorepo foundation, design system, and advanced grid component (built on a stable React version like 18) are complete and validated. A dedicated epic should be created in the project backlog to specifically investigate and resolve these compatibility issues. This may involve a phased rollout, the use of compatibility layers (codemods), or a more significant refactoring effort that should be planned and estimated independently.</w:t>
      </w:r>
    </w:p>
    <w:p w:rsidR="00000000" w:rsidDel="00000000" w:rsidP="00000000" w:rsidRDefault="00000000" w:rsidRPr="00000000" w14:paraId="0000016B">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Risk: State Management Complexity:</w:t>
      </w:r>
      <w:r w:rsidDel="00000000" w:rsidR="00000000" w:rsidRPr="00000000">
        <w:rPr>
          <w:rFonts w:ascii="Google Sans Text" w:cs="Google Sans Text" w:eastAsia="Google Sans Text" w:hAnsi="Google Sans Text"/>
          <w:color w:val="1b1c1d"/>
          <w:rtl w:val="0"/>
        </w:rPr>
        <w:t xml:space="preserve"> The architectural decision to use Redux as a client-side database for granular UI state is powerful but introduces significant complexity. An improperly managed state tree can become bloated, leading to performance degradation, and can be difficult to debug and maintain.</w:t>
      </w:r>
    </w:p>
    <w:p w:rsidR="00000000" w:rsidDel="00000000" w:rsidP="00000000" w:rsidRDefault="00000000" w:rsidRPr="00000000" w14:paraId="0000016C">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Mitigation:</w:t>
      </w:r>
      <w:r w:rsidDel="00000000" w:rsidR="00000000" w:rsidRPr="00000000">
        <w:rPr>
          <w:rFonts w:ascii="Google Sans Text" w:cs="Google Sans Text" w:eastAsia="Google Sans Text" w:hAnsi="Google Sans Text"/>
          <w:color w:val="1b1c1d"/>
          <w:rtl w:val="0"/>
        </w:rPr>
        <w:t xml:space="preserve"> A strict governance model for Redux state management must be established and enforced. This includes: (1) Implementing a highly structured state shape, using the "page context" or "component URN" pattern universally to prevent state collisions.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(2) Mandating the use of memoized selectors (e.g., with Reselect) for all state access to prevent unnecessary component re-renders. (3) Utilizing tools like Redux Persist with selective persistence, storing only essential UI state 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sessionStorage to avoid bloating localStorage. (4) Regularly profiling the Redux store's performance, paying close attention to the time taken by reducers and the frequency of selector re-computations.</w:t>
      </w:r>
    </w:p>
    <w:p w:rsidR="00000000" w:rsidDel="00000000" w:rsidP="00000000" w:rsidRDefault="00000000" w:rsidRPr="00000000" w14:paraId="0000016D">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Risk: Governance and Adoption Overhead:</w:t>
      </w:r>
      <w:r w:rsidDel="00000000" w:rsidR="00000000" w:rsidRPr="00000000">
        <w:rPr>
          <w:rFonts w:ascii="Google Sans Text" w:cs="Google Sans Text" w:eastAsia="Google Sans Text" w:hAnsi="Google Sans Text"/>
          <w:color w:val="1b1c1d"/>
          <w:rtl w:val="0"/>
        </w:rPr>
        <w:t xml:space="preserve"> The multi-monorepo, platform-team model is highly effective at scale but requires significant coordination and communication to succeed. Without clear processes, there is a risk of architectural drift, inconsistent adoption, or friction between platform and product teams.</w:t>
      </w:r>
    </w:p>
    <w:p w:rsidR="00000000" w:rsidDel="00000000" w:rsidP="00000000" w:rsidRDefault="00000000" w:rsidRPr="00000000" w14:paraId="0000016E">
      <w:pPr>
        <w:numPr>
          <w:ilvl w:val="1"/>
          <w:numId w:val="28"/>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Mitigation:</w:t>
      </w:r>
      <w:r w:rsidDel="00000000" w:rsidR="00000000" w:rsidRPr="00000000">
        <w:rPr>
          <w:rFonts w:ascii="Google Sans Text" w:cs="Google Sans Text" w:eastAsia="Google Sans Text" w:hAnsi="Google Sans Text"/>
          <w:color w:val="1b1c1d"/>
          <w:rtl w:val="0"/>
        </w:rPr>
        <w:t xml:space="preserve"> Establish a formal "Frontend Guild" or "Architecture Review Board" comprising technical leads and key stakeholders from all relevant teams. This body will be responsible for reviewing architectural decisions, approving contributions to the highradius_core_ui monorepo, and evolving development standards. The documentation portal (apps/docs) must contain rigorous and clear contribution guidelines, including processes for proposing new components, reporting bugs, and submitting pull requests to the core platform.</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7.2 Future Roadmap: Onboarding Additional Components</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2">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To provide a logical, phased approach for systematically onboarding the extensive list of remaining components identified in the target component list.</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173">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Phased Approach:</w:t>
      </w:r>
    </w:p>
    <w:p w:rsidR="00000000" w:rsidDel="00000000" w:rsidP="00000000" w:rsidRDefault="00000000" w:rsidRPr="00000000" w14:paraId="00000174">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Phase 1 (Foundation):</w:t>
      </w:r>
      <w:r w:rsidDel="00000000" w:rsidR="00000000" w:rsidRPr="00000000">
        <w:rPr>
          <w:rFonts w:ascii="Google Sans Text" w:cs="Google Sans Text" w:eastAsia="Google Sans Text" w:hAnsi="Google Sans Text"/>
          <w:color w:val="1b1c1d"/>
          <w:rtl w:val="0"/>
        </w:rPr>
        <w:t xml:space="preserve"> The immediate priority is the complete execution of the plans detailed in Sections 4, 6.1, and 6.2 of this document. This phase focuses on establishing the entire core platform—monorepo tooling, CI/CD, design system, and documentation—and delivering the flagship advanced AG Grid component. The successful completion of this phase validates the entire architecture.</w:t>
      </w:r>
    </w:p>
    <w:p w:rsidR="00000000" w:rsidDel="00000000" w:rsidP="00000000" w:rsidRDefault="00000000" w:rsidRPr="00000000" w14:paraId="00000175">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Phase 2 (Complex Components):</w:t>
      </w:r>
      <w:r w:rsidDel="00000000" w:rsidR="00000000" w:rsidRPr="00000000">
        <w:rPr>
          <w:rFonts w:ascii="Google Sans Text" w:cs="Google Sans Text" w:eastAsia="Google Sans Text" w:hAnsi="Google Sans Text"/>
          <w:color w:val="1b1c1d"/>
          <w:rtl w:val="0"/>
        </w:rPr>
        <w:t xml:space="preserve"> Once the foundation is stable, development should prioritize onboarding other complex, data-driven components that can leverage the newly created data caching and state management architecture. Prime candidates from the target list include Parametric Search, RuleBuilderV2, Grid + Crud, and TransformationGrid.</w:t>
      </w:r>
    </w:p>
    <w:p w:rsidR="00000000" w:rsidDel="00000000" w:rsidP="00000000" w:rsidRDefault="00000000" w:rsidRPr="00000000" w14:paraId="00000176">
      <w:pPr>
        <w:numPr>
          <w:ilvl w:val="1"/>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Phase 3 (Core UI Expansion):</w:t>
      </w:r>
      <w:r w:rsidDel="00000000" w:rsidR="00000000" w:rsidRPr="00000000">
        <w:rPr>
          <w:rFonts w:ascii="Google Sans Text" w:cs="Google Sans Text" w:eastAsia="Google Sans Text" w:hAnsi="Google Sans Text"/>
          <w:color w:val="1b1c1d"/>
          <w:rtl w:val="0"/>
        </w:rPr>
        <w:t xml:space="preserve"> In parallel with Phase 2, a systematic effort should be undertaken to develop or migrate the remaining atomic and composite components from the target list into the @highradius_core_ui/core package. Each component must be built to the established standard, fully integrated with the HiRa Theme, and accompanied by comprehensive Storybook documentation.</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7.3 Conclusion</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architectural blueprint detailed in this report represents a significant strategic investment in the future of the organization's frontend development capabilities. By adopting a modern, scalable monorepo ecosystem and embracing principles of clear separation of concerns, developer-centric tooling, and maximal state persistence, this plan provides a robust foundation for building the next generation of user interfaces. The successful execution of this blueprint will not only deliver a powerful and feature-rich AG Grid component but will also yield transformative improvements in long-term developer productivity, application quality and consistency, and ultimately, the end-user experience.</w:t>
      </w:r>
    </w:p>
    <w:p w:rsidR="00000000" w:rsidDel="00000000" w:rsidP="00000000" w:rsidRDefault="00000000" w:rsidRPr="00000000" w14:paraId="0000017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7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HLP_LLP - Page Caching - H2 2025.xlsx</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diagrams.net/?src=about#H...placeholder..." TargetMode="External"/><Relationship Id="rId5" Type="http://schemas.openxmlformats.org/officeDocument/2006/relationships/styles" Target="styles.xml"/><Relationship Id="rId6" Type="http://schemas.openxmlformats.org/officeDocument/2006/relationships/hyperlink" Target="https://app.diagrams.net/?src=about#H...placeholder..." TargetMode="External"/><Relationship Id="rId7" Type="http://schemas.openxmlformats.org/officeDocument/2006/relationships/hyperlink" Target="https://app.diagrams.net/?src=about#H...placeholder..." TargetMode="External"/><Relationship Id="rId8" Type="http://schemas.openxmlformats.org/officeDocument/2006/relationships/hyperlink" Target="https://app.diagrams.net/?src=about#H...placehold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