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Existing Blog Updates and New Article Map</w:t>
      </w:r>
    </w:p>
    <w:p>
      <w:pPr>
        <w:spacing w:after="60"/>
      </w:pPr>
      <w:r>
        <w:rPr>
          <w:sz w:val="19"/>
        </w:rPr>
        <w:t>Prepared for LocalSurgeSEO</w:t>
      </w:r>
    </w:p>
    <w:p>
      <w:pPr>
        <w:spacing w:after="60"/>
      </w:pPr>
      <w:r>
        <w:rPr>
          <w:b/>
          <w:sz w:val="19"/>
        </w:rPr>
        <w:t xml:space="preserve">Review date: </w:t>
      </w:r>
      <w:r>
        <w:rPr>
          <w:sz w:val="19"/>
        </w:rPr>
        <w:t>27 October 2026</w:t>
      </w:r>
    </w:p>
    <w:p>
      <w:pPr>
        <w:spacing w:after="60"/>
      </w:pPr>
      <w:r>
        <w:rPr>
          <w:sz w:val="19"/>
        </w:rPr>
        <w:t>The ten new articles fit existing categories. No new category is required. Publish them as distinct guides, with the overlaps and crosslinks described below. Several existing articles would benefit from factual corrections before they become supporting references for the new content.</w:t>
      </w:r>
    </w:p>
    <w:p>
      <w:pPr>
        <w:spacing w:after="60"/>
      </w:pPr>
      <w:r>
        <w:rPr>
          <w:sz w:val="19"/>
        </w:rPr>
        <w:t>This review addresses the public blog index and indexed wording retrieved on the review date. Some direct article pages restricted access. Match the identified passages to the live versions before applying replacements; the findings are targeted editorial recommendations rather than a complete audit of every article.</w:t>
      </w:r>
    </w:p>
    <w:p>
      <w:bookmarkStart w:id="1" w:name="s_new_article_categories_and_roles"/>
      <w:pPr>
        <w:pStyle w:val="Heading1"/>
      </w:pPr>
      <w:r>
        <w:t>New Article Categories and Roles</w:t>
      </w:r>
      <w:bookmarkEnd w:id="1"/>
    </w:p>
    <w:tbl>
      <w:tblPr>
        <w:tblW w:type="auto" w:w="0"/>
        <w:jc w:val="center"/>
        <w:tblLayout w:type="fixed"/>
        <w:tblLook w:firstColumn="1" w:firstRow="1" w:lastColumn="0" w:lastRow="0" w:noHBand="0" w:noVBand="1" w:val="04A0"/>
      </w:tblPr>
      <w:tblGrid>
        <w:gridCol w:w="720"/>
        <w:gridCol w:w="2520"/>
        <w:gridCol w:w="2736"/>
        <w:gridCol w:w="4104"/>
      </w:tblGrid>
      <w:tr>
        <w:trPr>
          <w:cantSplit/>
          <w:tblHeader/>
        </w:trPr>
        <w:tc>
          <w:tcPr>
            <w:tcW w:type="dxa" w:w="7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73B55"/>
          </w:tcPr>
          <w:p>
            <w:pPr>
              <w:keepNext/>
              <w:spacing w:after="0" w:line="247" w:lineRule="auto"/>
              <w:jc w:val="center"/>
            </w:pPr>
            <w:r>
              <w:rPr>
                <w:rFonts w:ascii="Arial" w:hAnsi="Arial"/>
                <w:b/>
                <w:color w:val="FFFFFF"/>
                <w:sz w:val="19"/>
              </w:rPr>
              <w:t>Draft</w:t>
            </w:r>
          </w:p>
        </w:tc>
        <w:tc>
          <w:tcPr>
            <w:tcW w:type="dxa" w:w="25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73B55"/>
          </w:tcPr>
          <w:p>
            <w:pPr>
              <w:keepNext/>
              <w:spacing w:after="0" w:line="247" w:lineRule="auto"/>
            </w:pPr>
            <w:r>
              <w:rPr>
                <w:rFonts w:ascii="Arial" w:hAnsi="Arial"/>
                <w:b/>
                <w:color w:val="FFFFFF"/>
                <w:sz w:val="19"/>
              </w:rPr>
              <w:t>Article subject</w:t>
            </w:r>
          </w:p>
        </w:tc>
        <w:tc>
          <w:tcPr>
            <w:tcW w:type="dxa" w:w="273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73B55"/>
          </w:tcPr>
          <w:p>
            <w:pPr>
              <w:keepNext/>
              <w:spacing w:after="0" w:line="247" w:lineRule="auto"/>
            </w:pPr>
            <w:r>
              <w:rPr>
                <w:rFonts w:ascii="Arial" w:hAnsi="Arial"/>
                <w:b/>
                <w:color w:val="FFFFFF"/>
                <w:sz w:val="19"/>
              </w:rPr>
              <w:t>Existing category</w:t>
            </w:r>
          </w:p>
        </w:tc>
        <w:tc>
          <w:tcPr>
            <w:tcW w:type="dxa" w:w="410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173B55"/>
          </w:tcPr>
          <w:p>
            <w:pPr>
              <w:keepNext/>
              <w:spacing w:after="0" w:line="247" w:lineRule="auto"/>
            </w:pPr>
            <w:r>
              <w:rPr>
                <w:rFonts w:ascii="Arial" w:hAnsi="Arial"/>
                <w:b/>
                <w:color w:val="FFFFFF"/>
                <w:sz w:val="19"/>
              </w:rPr>
              <w:t>Relationship to current content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jc w:val="center"/>
            </w:pPr>
            <w:r>
              <w:rPr>
                <w:rFonts w:ascii="Arial" w:hAnsi="Arial"/>
                <w:b w:val="0"/>
                <w:color w:val="000000"/>
                <w:sz w:val="19"/>
              </w:rPr>
              <w:t>01</w:t>
            </w:r>
          </w:p>
        </w:tc>
        <w:tc>
          <w:tcPr>
            <w:tcW w:type="dxa" w:w="25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Local SEO costs</w:t>
            </w:r>
          </w:p>
        </w:tc>
        <w:tc>
          <w:tcPr>
            <w:tcW w:type="dxa" w:w="273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Growth &amp; Strategy</w:t>
            </w:r>
          </w:p>
        </w:tc>
        <w:tc>
          <w:tcPr>
            <w:tcW w:type="dxa" w:w="410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Buyer guide supporting pricing and BOFU strategy</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jc w:val="center"/>
            </w:pPr>
            <w:r>
              <w:rPr>
                <w:rFonts w:ascii="Arial" w:hAnsi="Arial"/>
                <w:b w:val="0"/>
                <w:color w:val="000000"/>
                <w:sz w:val="19"/>
              </w:rPr>
              <w:t>02</w:t>
            </w:r>
          </w:p>
        </w:tc>
        <w:tc>
          <w:tcPr>
            <w:tcW w:type="dxa" w:w="25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Google Maps lead tracking</w:t>
            </w:r>
          </w:p>
        </w:tc>
        <w:tc>
          <w:tcPr>
            <w:tcW w:type="dxa" w:w="273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Revenue &amp; Analytics</w:t>
            </w:r>
          </w:p>
        </w:tc>
        <w:tc>
          <w:tcPr>
            <w:tcW w:type="dxa" w:w="410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Detailed companion to shorter tracking sections</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jc w:val="center"/>
            </w:pPr>
            <w:r>
              <w:rPr>
                <w:rFonts w:ascii="Arial" w:hAnsi="Arial"/>
                <w:b w:val="0"/>
                <w:color w:val="000000"/>
                <w:sz w:val="19"/>
              </w:rPr>
              <w:t>03</w:t>
            </w:r>
          </w:p>
        </w:tc>
        <w:tc>
          <w:tcPr>
            <w:tcW w:type="dxa" w:w="25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Recovering profile access</w:t>
            </w:r>
          </w:p>
        </w:tc>
        <w:tc>
          <w:tcPr>
            <w:tcW w:type="dxa" w:w="273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Google Business Profile</w:t>
            </w:r>
          </w:p>
        </w:tc>
        <w:tc>
          <w:tcPr>
            <w:tcW w:type="dxa" w:w="410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Access issue distinct from suspension</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jc w:val="center"/>
            </w:pPr>
            <w:r>
              <w:rPr>
                <w:rFonts w:ascii="Arial" w:hAnsi="Arial"/>
                <w:b w:val="0"/>
                <w:color w:val="000000"/>
                <w:sz w:val="19"/>
              </w:rPr>
              <w:t>04</w:t>
            </w:r>
          </w:p>
        </w:tc>
        <w:tc>
          <w:tcPr>
            <w:tcW w:type="dxa" w:w="25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Duplicate profiles</w:t>
            </w:r>
          </w:p>
        </w:tc>
        <w:tc>
          <w:tcPr>
            <w:tcW w:type="dxa" w:w="273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Google Business Profile</w:t>
            </w:r>
          </w:p>
        </w:tc>
        <w:tc>
          <w:tcPr>
            <w:tcW w:type="dxa" w:w="410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Troubleshooting distinct from managing eligible branches</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jc w:val="center"/>
            </w:pPr>
            <w:r>
              <w:rPr>
                <w:rFonts w:ascii="Arial" w:hAnsi="Arial"/>
                <w:b w:val="0"/>
                <w:color w:val="000000"/>
                <w:sz w:val="19"/>
              </w:rPr>
              <w:t>05</w:t>
            </w:r>
          </w:p>
        </w:tc>
        <w:tc>
          <w:tcPr>
            <w:tcW w:type="dxa" w:w="25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Review request templates</w:t>
            </w:r>
          </w:p>
        </w:tc>
        <w:tc>
          <w:tcPr>
            <w:tcW w:type="dxa" w:w="273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Reputation Management</w:t>
            </w:r>
          </w:p>
        </w:tc>
        <w:tc>
          <w:tcPr>
            <w:tcW w:type="dxa" w:w="410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Honest feedback requests rather than review removal</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jc w:val="center"/>
            </w:pPr>
            <w:r>
              <w:rPr>
                <w:rFonts w:ascii="Arial" w:hAnsi="Arial"/>
                <w:b w:val="0"/>
                <w:color w:val="000000"/>
                <w:sz w:val="19"/>
              </w:rPr>
              <w:t>06</w:t>
            </w:r>
          </w:p>
        </w:tc>
        <w:tc>
          <w:tcPr>
            <w:tcW w:type="dxa" w:w="25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Video verification</w:t>
            </w:r>
          </w:p>
        </w:tc>
        <w:tc>
          <w:tcPr>
            <w:tcW w:type="dxa" w:w="273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Google Business Profile</w:t>
            </w:r>
          </w:p>
        </w:tc>
        <w:tc>
          <w:tcPr>
            <w:tcW w:type="dxa" w:w="410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Preparation guide distinct from an appeal</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jc w:val="center"/>
            </w:pPr>
            <w:r>
              <w:rPr>
                <w:rFonts w:ascii="Arial" w:hAnsi="Arial"/>
                <w:b w:val="0"/>
                <w:color w:val="000000"/>
                <w:sz w:val="19"/>
              </w:rPr>
              <w:t>07</w:t>
            </w:r>
          </w:p>
        </w:tc>
        <w:tc>
          <w:tcPr>
            <w:tcW w:type="dxa" w:w="25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Local SEO timeline</w:t>
            </w:r>
          </w:p>
        </w:tc>
        <w:tc>
          <w:tcPr>
            <w:tcW w:type="dxa" w:w="273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Growth &amp; Strategy</w:t>
            </w:r>
          </w:p>
        </w:tc>
        <w:tc>
          <w:tcPr>
            <w:tcW w:type="dxa" w:w="410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Campaign planning and progress reviews</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jc w:val="center"/>
            </w:pPr>
            <w:r>
              <w:rPr>
                <w:rFonts w:ascii="Arial" w:hAnsi="Arial"/>
                <w:b w:val="0"/>
                <w:color w:val="000000"/>
                <w:sz w:val="19"/>
              </w:rPr>
              <w:t>08</w:t>
            </w:r>
          </w:p>
        </w:tc>
        <w:tc>
          <w:tcPr>
            <w:tcW w:type="dxa" w:w="25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Business relocation</w:t>
            </w:r>
          </w:p>
        </w:tc>
        <w:tc>
          <w:tcPr>
            <w:tcW w:type="dxa" w:w="273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Citations &amp; Architecture</w:t>
            </w:r>
          </w:p>
        </w:tc>
        <w:tc>
          <w:tcPr>
            <w:tcW w:type="dxa" w:w="410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Coordinated updates during a move</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jc w:val="center"/>
            </w:pPr>
            <w:r>
              <w:rPr>
                <w:rFonts w:ascii="Arial" w:hAnsi="Arial"/>
                <w:b w:val="0"/>
                <w:color w:val="000000"/>
                <w:sz w:val="19"/>
              </w:rPr>
              <w:t>09</w:t>
            </w:r>
          </w:p>
        </w:tc>
        <w:tc>
          <w:tcPr>
            <w:tcW w:type="dxa" w:w="25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Maps listing spam</w:t>
            </w:r>
          </w:p>
        </w:tc>
        <w:tc>
          <w:tcPr>
            <w:tcW w:type="dxa" w:w="273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Google Maps &amp; Local Pack</w:t>
            </w:r>
          </w:p>
        </w:tc>
        <w:tc>
          <w:tcPr>
            <w:tcW w:type="dxa" w:w="410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FFFFF"/>
          </w:tcPr>
          <w:p>
            <w:pPr>
              <w:keepNext w:val="0"/>
              <w:spacing w:after="0" w:line="247" w:lineRule="auto"/>
            </w:pPr>
            <w:r>
              <w:rPr>
                <w:rFonts w:ascii="Arial" w:hAnsi="Arial"/>
                <w:b w:val="0"/>
                <w:color w:val="000000"/>
                <w:sz w:val="19"/>
              </w:rPr>
              <w:t>Listing integrity rather than individual reviews</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jc w:val="center"/>
            </w:pPr>
            <w:r>
              <w:rPr>
                <w:rFonts w:ascii="Arial" w:hAnsi="Arial"/>
                <w:b w:val="0"/>
                <w:color w:val="000000"/>
                <w:sz w:val="19"/>
              </w:rPr>
              <w:t>10</w:t>
            </w:r>
          </w:p>
        </w:tc>
        <w:tc>
          <w:tcPr>
            <w:tcW w:type="dxa" w:w="2520"/>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Contractor keyword research</w:t>
            </w:r>
          </w:p>
        </w:tc>
        <w:tc>
          <w:tcPr>
            <w:tcW w:type="dxa" w:w="2736"/>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Local Content Strategy</w:t>
            </w:r>
          </w:p>
        </w:tc>
        <w:tc>
          <w:tcPr>
            <w:tcW w:type="dxa" w:w="4104"/>
            <w:vAlign w:val="center"/>
            <w:tcBorders>
              <w:top w:val="single" w:sz="4" w:color="D9D9D9"/>
              <w:left w:val="single" w:sz="4" w:color="D9D9D9"/>
              <w:bottom w:val="single" w:sz="4" w:color="D9D9D9"/>
              <w:right w:val="single" w:sz="4" w:color="D9D9D9"/>
            </w:tcBorders>
            <w:tcMar>
              <w:top w:w="90" w:type="dxa"/>
              <w:left w:w="100" w:type="dxa"/>
              <w:bottom w:w="90" w:type="dxa"/>
              <w:right w:w="100" w:type="dxa"/>
            </w:tcMar>
            <w:shd w:fill="F2F5F7"/>
          </w:tcPr>
          <w:p>
            <w:pPr>
              <w:keepNext w:val="0"/>
              <w:spacing w:after="0" w:line="247" w:lineRule="auto"/>
            </w:pPr>
            <w:r>
              <w:rPr>
                <w:rFonts w:ascii="Arial" w:hAnsi="Arial"/>
                <w:b w:val="0"/>
                <w:color w:val="000000"/>
                <w:sz w:val="19"/>
              </w:rPr>
              <w:t>Research and page mapping rather than general search trends</w:t>
            </w:r>
          </w:p>
        </w:tc>
      </w:tr>
    </w:tbl>
    <w:p>
      <w:pPr>
        <w:spacing w:after="0"/>
      </w:pPr>
    </w:p>
    <w:p>
      <w:r>
        <w:t>Each draft includes its proposed slug, SEO title, meta description, primary keyword, existing category, article copy, contextual internal links, and source links. The article copy follows the site's summary, takeaways, contents, practical sections, FAQs, and related-resource pattern. Examples are labeled as hypothetical; they are not client case studies.</w:t>
      </w:r>
    </w:p>
    <w:p>
      <w:bookmarkStart w:id="2" w:name="s_correct_the_google_business_profile_"/>
      <w:pPr>
        <w:pStyle w:val="Heading1"/>
      </w:pPr>
      <w:r>
        <w:t>Correct the Google Business Profile Optimization Checklist</w:t>
      </w:r>
      <w:bookmarkEnd w:id="2"/>
    </w:p>
    <w:p>
      <w:r>
        <w:t xml:space="preserve">Existing article: </w:t>
      </w:r>
      <w:hyperlink r:id="rId10">
        <w:r>
          <w:rPr>
            <w:color w:val="165B89"/>
            <w:u w:val="single"/>
          </w:rPr>
          <w:t>Mastering Google Business Profile</w:t>
        </w:r>
      </w:hyperlink>
      <w:r/>
    </w:p>
    <w:p>
      <w:r>
        <w:t>Priority: High. Update before using this article as a reference from drafts 03 and 06.</w:t>
      </w:r>
    </w:p>
    <w:p>
      <w:r>
        <w:t>The indexed checklist assigns a precise percentage to category relevance and presents a set of behavioral details as established ranking mechanics. It also treats the legal entity name as the universal naming rule and recommends filling a large number of additional categories. The stronger approach is to remove unsupported weighting and follow the real-world representation guidance.</w:t>
      </w:r>
    </w:p>
    <w:p>
      <w:r>
        <w:t>Replace the category and naming explanation with:</w:t>
      </w:r>
    </w:p>
    <w:p>
      <w:r>
        <w:t>Choose the primary category that best describes the business customers actually use. Add only relevant additional categories needed to describe the operation. Use the business name consistently represented on real-world branding, rather than adding service keywords, city names, or legal suffixes solely for search visibility.</w:t>
      </w:r>
    </w:p>
    <w:p>
      <w:r>
        <w:t>Replace the opening explanation of algorithmic levers with:</w:t>
      </w:r>
    </w:p>
    <w:p>
      <w:r>
        <w:t>A useful profile gives customers accurate information about the business, its services, and how to contact it. Review the details regularly and assess inquiries alongside visibility. Avoid assigning fixed ranking weights to individual edits without reliable supporting evidence.</w:t>
      </w:r>
    </w:p>
    <w:p>
      <w:r>
        <w:t xml:space="preserve">Basis: </w:t>
      </w:r>
      <w:hyperlink r:id="rId11">
        <w:r>
          <w:rPr>
            <w:color w:val="165B89"/>
            <w:u w:val="single"/>
          </w:rPr>
          <w:t>Google business representation guidelines</w:t>
        </w:r>
      </w:hyperlink>
      <w:r>
        <w:t xml:space="preserve"> and </w:t>
      </w:r>
      <w:hyperlink r:id="rId12">
        <w:r>
          <w:rPr>
            <w:color w:val="165B89"/>
            <w:u w:val="single"/>
          </w:rPr>
          <w:t>local ranking guidance</w:t>
        </w:r>
      </w:hyperlink>
      <w:r>
        <w:t>.</w:t>
      </w:r>
    </w:p>
    <w:p>
      <w:r>
        <w:t>Add contextual links to draft 02 for measurement, draft 03 for ownership, and draft 06 for verification. Keep this article as the broad checklist.</w:t>
      </w:r>
    </w:p>
    <w:p>
      <w:bookmarkStart w:id="3" w:name="s_revise_the_fake_review_removal_guide"/>
      <w:pPr>
        <w:pStyle w:val="Heading1"/>
      </w:pPr>
      <w:r>
        <w:t>Revise the Fake Review Removal Guide</w:t>
      </w:r>
      <w:bookmarkEnd w:id="3"/>
    </w:p>
    <w:p>
      <w:r>
        <w:t xml:space="preserve">Existing article: </w:t>
      </w:r>
      <w:hyperlink r:id="rId13">
        <w:r>
          <w:rPr>
            <w:color w:val="165B89"/>
            <w:u w:val="single"/>
          </w:rPr>
          <w:t>How to Remove Fake Negative Google Reviews</w:t>
        </w:r>
      </w:hyperlink>
      <w:r/>
    </w:p>
    <w:p>
      <w:r>
        <w:t>Priority: High. Update before linking from drafts 05 and 09.</w:t>
      </w:r>
    </w:p>
    <w:p>
      <w:r>
        <w:t>The article treats the absence of a CRM match as decisive evidence, predicts fixed rating and revenue effects, and suggests a monthly review count can eliminate negative impact. Those claims need removal or properly documented evidence. The review invitation should also avoid prompting customers for a particular rating.</w:t>
      </w:r>
    </w:p>
    <w:p>
      <w:r>
        <w:t>Replace the CRM evidence explanation with:</w:t>
      </w:r>
    </w:p>
    <w:p>
      <w:r>
        <w:t>An unfamiliar reviewer name is a reason to investigate, not proof that the review is fabricated. Check the content and the relevant policy. A customer may use a different account name, and a genuine experience may not produce a completed invoice. Explain the specific suspected violation and provide relevant evidence through the official reporting process.</w:t>
      </w:r>
    </w:p>
    <w:p>
      <w:r>
        <w:t>Replace the review generation promise and message with:</w:t>
      </w:r>
    </w:p>
    <w:p>
      <w:r>
        <w:t>Invite honest feedback consistently, without incentives, rating instructions, or filtering for happy customers. A suitable message is: Thank you for choosing [Business name]. If you would like to share your experience, here is our Google review link: [Link]. For service support, contact [Contact].</w:t>
      </w:r>
    </w:p>
    <w:p>
      <w:r>
        <w:t>Remove the promise that a fixed number of new reviews guarantees no rating or ranking impact. Remove universal legal conclusions and procedural promises about compelling reviewer identification unless a qualified legal reviewer supplies jurisdiction-specific wording. Keep the article focused on policy-based reporting and professional responses.</w:t>
      </w:r>
    </w:p>
    <w:p>
      <w:r>
        <w:t xml:space="preserve">Basis: </w:t>
      </w:r>
      <w:hyperlink r:id="rId14">
        <w:r>
          <w:rPr>
            <w:color w:val="165B89"/>
            <w:u w:val="single"/>
          </w:rPr>
          <w:t>Google Maps contribution policy</w:t>
        </w:r>
      </w:hyperlink>
      <w:r>
        <w:t xml:space="preserve"> and </w:t>
      </w:r>
      <w:hyperlink r:id="rId15">
        <w:r>
          <w:rPr>
            <w:color w:val="165B89"/>
            <w:u w:val="single"/>
          </w:rPr>
          <w:t>review reporting guidance</w:t>
        </w:r>
      </w:hyperlink>
      <w:r>
        <w:t>.</w:t>
      </w:r>
    </w:p>
    <w:p>
      <w:r>
        <w:t>Link to draft 05 for the request workflow and templates. Retain the existing removal article for suspected policy violations.</w:t>
      </w:r>
    </w:p>
    <w:p>
      <w:bookmarkStart w:id="4" w:name="s_correct_the_suspension_and_appeal_gu"/>
      <w:pPr>
        <w:pStyle w:val="Heading1"/>
      </w:pPr>
      <w:r>
        <w:t>Correct the Suspension and Appeal Guide</w:t>
      </w:r>
      <w:bookmarkEnd w:id="4"/>
    </w:p>
    <w:p>
      <w:r>
        <w:t xml:space="preserve">Existing article: </w:t>
      </w:r>
      <w:hyperlink r:id="rId16">
        <w:r>
          <w:rPr>
            <w:color w:val="165B89"/>
            <w:u w:val="single"/>
          </w:rPr>
          <w:t>Google Business Profile Suspension and Appeal Guide</w:t>
        </w:r>
      </w:hyperlink>
      <w:r/>
    </w:p>
    <w:p>
      <w:r>
        <w:t>Priority: High. Update before linking from drafts 03 and 06.</w:t>
      </w:r>
    </w:p>
    <w:p>
      <w:r>
        <w:t>Remove unsupported percentages for lost calls and video requirements, universal approval promises, and guaranteed reinstatement times. Clarify when the evidence-upload deadline begins. Avoid treating every business as if it needs storefront evidence.</w:t>
      </w:r>
    </w:p>
    <w:p>
      <w:r>
        <w:t>Replace the deadline explanation with:</w:t>
      </w:r>
    </w:p>
    <w:p>
      <w:r>
        <w:t>Prepare relevant evidence before beginning the appeal. Google's appeals guidance says that once the optional evidence form is opened, supporting evidence must be submitted within 60 minutes for it to be attached. Read the instructions shown for the appeal and business region.</w:t>
      </w:r>
    </w:p>
    <w:p>
      <w:r>
        <w:t>Replace the guaranteed video and timing language with:</w:t>
      </w:r>
    </w:p>
    <w:p>
      <w:r>
        <w:t>The requirements and outcome depend on the restriction and the business. Submit accurate evidence that addresses the stated issue and follow the status shown in the official process. Complete verification if requested using the method available for the profile. Neither a fixed video sequence nor an agency can guarantee approval or a completion date.</w:t>
      </w:r>
    </w:p>
    <w:p>
      <w:r>
        <w:t xml:space="preserve">Basis: </w:t>
      </w:r>
      <w:hyperlink r:id="rId17">
        <w:r>
          <w:rPr>
            <w:color w:val="165B89"/>
            <w:u w:val="single"/>
          </w:rPr>
          <w:t>Google appeals guidance</w:t>
        </w:r>
      </w:hyperlink>
      <w:r>
        <w:t xml:space="preserve"> and </w:t>
      </w:r>
      <w:hyperlink r:id="rId18">
        <w:r>
          <w:rPr>
            <w:color w:val="165B89"/>
            <w:u w:val="single"/>
          </w:rPr>
          <w:t>verification methods</w:t>
        </w:r>
      </w:hyperlink>
      <w:r>
        <w:t>.</w:t>
      </w:r>
    </w:p>
    <w:p>
      <w:r>
        <w:t>Link to draft 03 for account access issues and draft 06 for video preparation. Keep those processes distinct from reinstatement.</w:t>
      </w:r>
    </w:p>
    <w:p>
      <w:bookmarkStart w:id="5" w:name="s_qualify_the_multi_fleet_service_area"/>
      <w:pPr>
        <w:pStyle w:val="Heading1"/>
      </w:pPr>
      <w:r>
        <w:t>Qualify the Multi Fleet Service Area Business Playbook</w:t>
      </w:r>
      <w:bookmarkEnd w:id="5"/>
    </w:p>
    <w:p>
      <w:r>
        <w:t xml:space="preserve">Existing article: </w:t>
      </w:r>
      <w:hyperlink r:id="rId19">
        <w:r>
          <w:rPr>
            <w:color w:val="165B89"/>
            <w:u w:val="single"/>
          </w:rPr>
          <w:t>Multi Fleet SAB Playbook</w:t>
        </w:r>
      </w:hyperlink>
      <w:r/>
    </w:p>
    <w:p>
      <w:r>
        <w:t>Priority: High. Review before expanding this topic further.</w:t>
      </w:r>
    </w:p>
    <w:p>
      <w:r>
        <w:t>The indexed article presents a dispatch yard with a specified number of vans as a guaranteed compliant second location and promises first-time video approval. Those outcomes are not established by the stated facts alone. Advice to film live customer work records also creates avoidable exposure of private information.</w:t>
      </w:r>
    </w:p>
    <w:p>
      <w:r>
        <w:t>Replace the location eligibility claim with:</w:t>
      </w:r>
    </w:p>
    <w:p>
      <w:r>
        <w:t>A second operating location needs its own eligibility review under Google's current requirements. Leasing space, parking vehicles, or adding a new service area does not by itself establish eligibility for another profile. Describe the actual operation and use the correct profile arrangement for it.</w:t>
      </w:r>
    </w:p>
    <w:p>
      <w:r>
        <w:t>Replace the approval and filming claim with:</w:t>
      </w:r>
    </w:p>
    <w:p>
      <w:r>
        <w:t>Prepare evidence appropriate to the business and the verification method offered. Show real business activity and authorized access without exposing customer records, login details, or unrelated private information. Preparation can address missing evidence, but it cannot guarantee approval.</w:t>
      </w:r>
    </w:p>
    <w:p>
      <w:r>
        <w:t xml:space="preserve">Basis: </w:t>
      </w:r>
      <w:hyperlink r:id="rId11">
        <w:r>
          <w:rPr>
            <w:color w:val="165B89"/>
            <w:u w:val="single"/>
          </w:rPr>
          <w:t>Google business guidelines</w:t>
        </w:r>
      </w:hyperlink>
      <w:r>
        <w:t xml:space="preserve"> and </w:t>
      </w:r>
      <w:hyperlink r:id="rId20">
        <w:r>
          <w:rPr>
            <w:color w:val="165B89"/>
            <w:u w:val="single"/>
          </w:rPr>
          <w:t>video verification requirements</w:t>
        </w:r>
      </w:hyperlink>
      <w:r>
        <w:t>.</w:t>
      </w:r>
    </w:p>
    <w:p>
      <w:r>
        <w:t>Use draft 06 for the detailed recording preparation and draft 08 for a relocation. Keep this article focused on genuine regional operations rather than a formula for obtaining extra listings.</w:t>
      </w:r>
    </w:p>
    <w:p>
      <w:bookmarkStart w:id="6" w:name="s_clarify_bulk_verification_eligibilit"/>
      <w:pPr>
        <w:pStyle w:val="Heading1"/>
      </w:pPr>
      <w:r>
        <w:t>Clarify Bulk Verification Eligibility</w:t>
      </w:r>
      <w:bookmarkEnd w:id="6"/>
    </w:p>
    <w:p>
      <w:r>
        <w:t xml:space="preserve">Existing article: </w:t>
      </w:r>
      <w:hyperlink r:id="rId21">
        <w:r>
          <w:rPr>
            <w:color w:val="165B89"/>
            <w:u w:val="single"/>
          </w:rPr>
          <w:t>Managing Multiple Google Business Profiles</w:t>
        </w:r>
      </w:hyperlink>
      <w:r/>
    </w:p>
    <w:p>
      <w:r>
        <w:t>Priority: High. Confirm the live eligibility wording before publication of related profile guides.</w:t>
      </w:r>
    </w:p>
    <w:p>
      <w:r>
        <w:t>The article's ten-location framing needs an explicit distinction between managing profiles together and qualifying for bulk verification. Ten profiles alone do not establish eligibility, especially for readers operating service-area businesses.</w:t>
      </w:r>
    </w:p>
    <w:p>
      <w:r>
        <w:t>Add or replace the eligibility paragraph with:</w:t>
      </w:r>
    </w:p>
    <w:p>
      <w:r>
        <w:t>Bulk profile management and bulk verification are different capabilities. Google's bulk verification requirements include eligible profiles for the same business and exclude service-area businesses from that verification route. Agencies cannot qualify merely by pooling unrelated client locations. Review the current requirements before presenting ten profiles as sufficient.</w:t>
      </w:r>
    </w:p>
    <w:p>
      <w:r>
        <w:t>Also qualify any statement that every future spreadsheet entry becomes instantly verified. Eligibility and Google's checks still apply.</w:t>
      </w:r>
    </w:p>
    <w:p>
      <w:r>
        <w:t xml:space="preserve">Basis: </w:t>
      </w:r>
      <w:hyperlink r:id="rId22">
        <w:r>
          <w:rPr>
            <w:color w:val="165B89"/>
            <w:u w:val="single"/>
          </w:rPr>
          <w:t>Google bulk verification guidance</w:t>
        </w:r>
      </w:hyperlink>
      <w:r>
        <w:t>.</w:t>
      </w:r>
    </w:p>
    <w:p>
      <w:r>
        <w:t>Link to draft 03 for ownership problems, draft 04 for duplicates, and draft 02 for detailed tracking. Keep the multi-location article focused on portfolio operations.</w:t>
      </w:r>
    </w:p>
    <w:p>
      <w:bookmarkStart w:id="7" w:name="s_reframe_the_llms_txt_article"/>
      <w:pPr>
        <w:pStyle w:val="Heading1"/>
      </w:pPr>
      <w:r>
        <w:t>Reframe the llms txt Article</w:t>
      </w:r>
      <w:bookmarkEnd w:id="7"/>
    </w:p>
    <w:p>
      <w:r>
        <w:t xml:space="preserve">Existing article: </w:t>
      </w:r>
      <w:hyperlink r:id="rId23">
        <w:r>
          <w:rPr>
            <w:color w:val="165B89"/>
            <w:u w:val="single"/>
          </w:rPr>
          <w:t>The llms txt Blueprint</w:t>
        </w:r>
      </w:hyperlink>
      <w:r/>
    </w:p>
    <w:p>
      <w:r>
        <w:t>Priority: High. Correct the necessity claim before producing more AI-search content.</w:t>
      </w:r>
    </w:p>
    <w:p>
      <w:r>
        <w:t>Suggested revised title: llms txt for Local Businesses and Its Uses and Limits</w:t>
      </w:r>
    </w:p>
    <w:p>
      <w:r>
        <w:t>Suggested SEO title: llms.txt for Local Businesses: Uses and Limits</w:t>
      </w:r>
    </w:p>
    <w:p>
      <w:r>
        <w:t>Suggested meta description: Understand what llms.txt can document, why it is not required for Google AI search, and which website improvements local businesses should prioritize.</w:t>
      </w:r>
    </w:p>
    <w:p>
      <w:r>
        <w:t>Keep the existing URL unless there is a separate reason to change it. The title can be corrected without changing the slug.</w:t>
      </w:r>
    </w:p>
    <w:p>
      <w:r>
        <w:t>Replace the claim that every local business needs this file with:</w:t>
      </w:r>
    </w:p>
    <w:p>
      <w:r>
        <w:t>An llms.txt file can document selected website resources for systems that choose to use it. It is not a requirement for appearing in Google's AI search features. Google's current guidance says special AI text files are unnecessary for that purpose. Prioritize useful content, accessible pages, clear internal links, and accurate business details. Check each other service's documentation before claiming that it uses the file or gives it a ranking benefit.</w:t>
      </w:r>
    </w:p>
    <w:p>
      <w:r>
        <w:t xml:space="preserve">Basis: </w:t>
      </w:r>
      <w:hyperlink r:id="rId24">
        <w:r>
          <w:rPr>
            <w:color w:val="165B89"/>
            <w:u w:val="single"/>
          </w:rPr>
          <w:t>Google guidance on AI search features</w:t>
        </w:r>
      </w:hyperlink>
      <w:r>
        <w:t xml:space="preserve"> and </w:t>
      </w:r>
      <w:hyperlink r:id="rId25">
        <w:r>
          <w:rPr>
            <w:color w:val="165B89"/>
            <w:u w:val="single"/>
          </w:rPr>
          <w:t>Google's generative AI optimization guidance</w:t>
        </w:r>
      </w:hyperlink>
      <w:r>
        <w:t>.</w:t>
      </w:r>
    </w:p>
    <w:p>
      <w:r>
        <w:t>Keep any generator or examples only if they are described as optional documentation tools. Remove unsupported claims of a required AI sitemap or guaranteed inclusion.</w:t>
      </w:r>
    </w:p>
    <w:p>
      <w:bookmarkStart w:id="8" w:name="s_soften_the_absolute_claim_about_near"/>
      <w:pPr>
        <w:pStyle w:val="Heading1"/>
      </w:pPr>
      <w:r>
        <w:t>Soften the Absolute Claim About Near Me Searches</w:t>
      </w:r>
      <w:bookmarkEnd w:id="8"/>
    </w:p>
    <w:p>
      <w:r>
        <w:t xml:space="preserve">Existing article: </w:t>
      </w:r>
      <w:hyperlink r:id="rId26">
        <w:r>
          <w:rPr>
            <w:color w:val="165B89"/>
            <w:u w:val="single"/>
          </w:rPr>
          <w:t>Near Me and Conversational Search</w:t>
        </w:r>
      </w:hyperlink>
      <w:r/>
    </w:p>
    <w:p>
      <w:r>
        <w:t>Priority: Medium. Update before linking it closely with draft 10.</w:t>
      </w:r>
    </w:p>
    <w:p>
      <w:r>
        <w:t>Suggested revised title: How Near Me and Conversational Searches Connect Customers to Local Businesses</w:t>
      </w:r>
    </w:p>
    <w:p>
      <w:r>
        <w:t>The useful lesson is to avoid repetitive location stuffing. The broader claim that one type of local search is dead needs evidence that the article does not establish in the indexed text.</w:t>
      </w:r>
    </w:p>
    <w:p>
      <w:r>
        <w:t>Suggested replacement introduction:</w:t>
      </w:r>
    </w:p>
    <w:p>
      <w:r>
        <w:t>Customers express local needs in several ways. Some name a service and a city, some ask for nearby help, and others describe the problem in a full question. Build useful service and location information around those needs. Repeating a phrase is less helpful than explaining what you do, where you work, and how a customer can book.</w:t>
      </w:r>
    </w:p>
    <w:p>
      <w:r>
        <w:t xml:space="preserve">Basis: </w:t>
      </w:r>
      <w:hyperlink r:id="rId12">
        <w:r>
          <w:rPr>
            <w:color w:val="165B89"/>
            <w:u w:val="single"/>
          </w:rPr>
          <w:t>Google's local ranking explanation</w:t>
        </w:r>
      </w:hyperlink>
      <w:r>
        <w:t xml:space="preserve"> and </w:t>
      </w:r>
      <w:hyperlink r:id="rId27">
        <w:r>
          <w:rPr>
            <w:color w:val="165B89"/>
            <w:u w:val="single"/>
          </w:rPr>
          <w:t>Keyword Planner guidance</w:t>
        </w:r>
      </w:hyperlink>
      <w:r>
        <w:t>.</w:t>
      </w:r>
    </w:p>
    <w:p>
      <w:r>
        <w:t>Link to draft 10 for a practical research and page-mapping process. Keep the existing URL unless a redirect plan is separately justified.</w:t>
      </w:r>
    </w:p>
    <w:p>
      <w:bookmarkStart w:id="9" w:name="s_strengthen_tracking_caveats_in_the_s"/>
      <w:pPr>
        <w:pStyle w:val="Heading1"/>
      </w:pPr>
      <w:r>
        <w:t>Strengthen Tracking Caveats in the Service Area Page Guide</w:t>
      </w:r>
      <w:bookmarkEnd w:id="9"/>
    </w:p>
    <w:p>
      <w:r>
        <w:t xml:space="preserve">Existing article: </w:t>
      </w:r>
      <w:hyperlink r:id="rId28">
        <w:r>
          <w:rPr>
            <w:color w:val="165B89"/>
            <w:u w:val="single"/>
          </w:rPr>
          <w:t>Service Area Landing Pages That Convert</w:t>
        </w:r>
      </w:hyperlink>
      <w:r/>
    </w:p>
    <w:p>
      <w:r>
        <w:t>Priority: Medium. Add the clarification when linking to draft 02.</w:t>
      </w:r>
    </w:p>
    <w:p>
      <w:r>
        <w:t>The tracking discussion should distinguish button clicks, successful inquiries, and completed jobs. Avoid implying that client-side number replacement guarantees what every crawler sees.</w:t>
      </w:r>
    </w:p>
    <w:p>
      <w:r>
        <w:t>Add this paragraph to the measurement section:</w:t>
      </w:r>
    </w:p>
    <w:p>
      <w:r>
        <w:t>Test the measurement setup against the actual customer journey. A phone click does not prove an answered call, and a form event does not necessarily prove that the business received an inquiry. Use successful submission signals, call records, and booking outcomes to assess results. Validate number replacement and keep published business information reliable across the website and listings.</w:t>
      </w:r>
    </w:p>
    <w:p>
      <w:r>
        <w:t xml:space="preserve">Basis: </w:t>
      </w:r>
      <w:hyperlink r:id="rId29">
        <w:r>
          <w:rPr>
            <w:color w:val="165B89"/>
            <w:u w:val="single"/>
          </w:rPr>
          <w:t>Business Profile metric definitions</w:t>
        </w:r>
      </w:hyperlink>
      <w:r>
        <w:t xml:space="preserve"> and </w:t>
      </w:r>
      <w:hyperlink r:id="rId30">
        <w:r>
          <w:rPr>
            <w:color w:val="165B89"/>
            <w:u w:val="single"/>
          </w:rPr>
          <w:t>GA4 enhanced measurement</w:t>
        </w:r>
      </w:hyperlink>
      <w:r>
        <w:t>.</w:t>
      </w:r>
    </w:p>
    <w:p>
      <w:r>
        <w:t>Link to draft 02 for the complete process. Retain the existing page as the conversion and page-design guide.</w:t>
      </w:r>
    </w:p>
    <w:p>
      <w:bookmarkStart w:id="10" w:name="s_final_editorial_checks"/>
      <w:pPr>
        <w:pStyle w:val="Heading1"/>
      </w:pPr>
      <w:r>
        <w:t>Final Editorial Checks</w:t>
      </w:r>
      <w:bookmarkEnd w:id="10"/>
    </w:p>
    <w:p>
      <w:pPr>
        <w:pStyle w:val="ListBullet"/>
      </w:pPr>
      <w:r>
        <w:t>Preserve existing article URLs when making the recommended corrections.</w:t>
      </w:r>
    </w:p>
    <w:p>
      <w:pPr>
        <w:pStyle w:val="ListBullet"/>
      </w:pPr>
      <w:r>
        <w:t>Confirm that each proposed new slug is unused in the live CMS before assigning it.</w:t>
      </w:r>
    </w:p>
    <w:p>
      <w:pPr>
        <w:pStyle w:val="ListBullet"/>
      </w:pPr>
      <w:r>
        <w:t>Keep the existing broad guides and use contextual links to the more specific new articles.</w:t>
      </w:r>
    </w:p>
    <w:p>
      <w:pPr>
        <w:pStyle w:val="ListBullet"/>
      </w:pPr>
      <w:r>
        <w:t>Verify business-specific prices and service commitments before publication. The cost benchmark in draft 01 is attributed to external research and is not a LocalSurgeSEO quote.</w:t>
      </w:r>
    </w:p>
    <w:p>
      <w:pPr>
        <w:pStyle w:val="ListBullet"/>
      </w:pPr>
      <w:r>
        <w:t>Assign the real author and reviewer and the actual publication or update date. Do not turn hypothetical examples into client case studies.</w:t>
      </w:r>
    </w:p>
    <w:p>
      <w:pPr>
        <w:pStyle w:val="ListBullet"/>
      </w:pPr>
      <w:r>
        <w:t>The Word files contain article metadata above the body and source links after it. Review those fields as editorial information rather than presenting them as ordinary opening paragraphs on the website.</w:t>
      </w:r>
    </w:p>
    <w:p>
      <w:pPr>
        <w:pStyle w:val="ListBullet"/>
      </w:pPr>
      <w:r>
        <w:t>The new drafts use existing live article destinations. Links to the new articles should use the proposed slugs only after those destinations are published.</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sz w:val="28"/>
      <w:szCs w:val="28"/>
      <w:color w:val="000000"/>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sz w:val="23"/>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00" w:line="240" w:lineRule="auto" w:before="0"/>
      <w:contextualSpacing/>
    </w:pPr>
    <w:rPr>
      <w:rFonts w:asciiTheme="majorHAnsi" w:eastAsiaTheme="majorEastAsia" w:hAnsiTheme="majorHAnsi" w:cstheme="majorBidi" w:ascii="Arial" w:hAnsi="Arial"/>
      <w:b/>
      <w:spacing w:val="5"/>
      <w:kern w:val="28"/>
      <w:sz w:val="44"/>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after="80" w:line="252"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numPr>
        <w:numId w:val="5"/>
      </w:numPr>
      <w:spacing w:after="80" w:line="252"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ocalsurgeseo.com/blog/mastering-google-business-profile-optimization" TargetMode="External"/><Relationship Id="rId11" Type="http://schemas.openxmlformats.org/officeDocument/2006/relationships/hyperlink" Target="https://support.google.com/business/answer/3038177?hl=en" TargetMode="External"/><Relationship Id="rId12" Type="http://schemas.openxmlformats.org/officeDocument/2006/relationships/hyperlink" Target="https://support.google.com/business/answer/7091" TargetMode="External"/><Relationship Id="rId13" Type="http://schemas.openxmlformats.org/officeDocument/2006/relationships/hyperlink" Target="https://localsurgeseo.com/blog/how-to-remove-fake-negative-google-reviews-guide" TargetMode="External"/><Relationship Id="rId14" Type="http://schemas.openxmlformats.org/officeDocument/2006/relationships/hyperlink" Target="https://support.google.com/contributionpolicy/answer/7400114?hl=en" TargetMode="External"/><Relationship Id="rId15" Type="http://schemas.openxmlformats.org/officeDocument/2006/relationships/hyperlink" Target="https://support.google.com/business/answer/4596773?hl=en" TargetMode="External"/><Relationship Id="rId16" Type="http://schemas.openxmlformats.org/officeDocument/2006/relationships/hyperlink" Target="https://localsurgeseo.com/blog/google-business-profile-suspended-reinstatement-appeal-guide" TargetMode="External"/><Relationship Id="rId17" Type="http://schemas.openxmlformats.org/officeDocument/2006/relationships/hyperlink" Target="https://support.google.com/business/answer/13597551?hl=en" TargetMode="External"/><Relationship Id="rId18" Type="http://schemas.openxmlformats.org/officeDocument/2006/relationships/hyperlink" Target="https://support.google.com/business/answer/7107242?hl=en" TargetMode="External"/><Relationship Id="rId19" Type="http://schemas.openxmlformats.org/officeDocument/2006/relationships/hyperlink" Target="https://localsurgeseo.com/blog/multi-fleet-sab-local-seo-counties-guide" TargetMode="External"/><Relationship Id="rId20" Type="http://schemas.openxmlformats.org/officeDocument/2006/relationships/hyperlink" Target="https://support.google.com/business/answer/14271705?hl=en" TargetMode="External"/><Relationship Id="rId21" Type="http://schemas.openxmlformats.org/officeDocument/2006/relationships/hyperlink" Target="https://localsurgeseo.com/blog/managing-multiple-google-business-profiles-bulk-verification" TargetMode="External"/><Relationship Id="rId22" Type="http://schemas.openxmlformats.org/officeDocument/2006/relationships/hyperlink" Target="https://support.google.com/business/answer/4490296?hl=en" TargetMode="External"/><Relationship Id="rId23" Type="http://schemas.openxmlformats.org/officeDocument/2006/relationships/hyperlink" Target="https://localsurgeseo.com/blog/llmstxt-blueprint-ai-sitemap-local-business" TargetMode="External"/><Relationship Id="rId24" Type="http://schemas.openxmlformats.org/officeDocument/2006/relationships/hyperlink" Target="https://developers.google.com/search/docs/appearance/ai-features" TargetMode="External"/><Relationship Id="rId25" Type="http://schemas.openxmlformats.org/officeDocument/2006/relationships/hyperlink" Target="https://developers.google.com/search/docs/fundamentals/ai-optimization-guide" TargetMode="External"/><Relationship Id="rId26" Type="http://schemas.openxmlformats.org/officeDocument/2006/relationships/hyperlink" Target="https://localsurgeseo.com/blog/local-seo-2026-near-me-is-dead" TargetMode="External"/><Relationship Id="rId27" Type="http://schemas.openxmlformats.org/officeDocument/2006/relationships/hyperlink" Target="https://support.google.com/google-ads/answer/7337243" TargetMode="External"/><Relationship Id="rId28" Type="http://schemas.openxmlformats.org/officeDocument/2006/relationships/hyperlink" Target="https://localsurgeseo.com/blog/service-area-pages-conversion-wireframes-blueprint" TargetMode="External"/><Relationship Id="rId29" Type="http://schemas.openxmlformats.org/officeDocument/2006/relationships/hyperlink" Target="https://support.google.com/business/answer/9918094?hl=en" TargetMode="External"/><Relationship Id="rId30" Type="http://schemas.openxmlformats.org/officeDocument/2006/relationships/hyperlink" Target="https://support.google.com/analytics/answer/9216061?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Existing Blog Updates and New Article Map</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