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NIYTRI Partner Onboarding — Internal SOP</w:t>
      </w:r>
    </w:p>
    <w:p>
      <w:pPr>
        <w:pStyle w:val="Heading1"/>
      </w:pPr>
      <w:bookmarkStart w:id="20" w:name="niytri-partner-onboarding-internal-sop"/>
      <w:r>
        <w:t xml:space="preserve">NIYTRI Partner Onboarding — Internal SOP</w:t>
      </w:r>
      <w:bookmarkEnd w:id="20"/>
    </w:p>
    <w:p>
      <w:pPr>
        <w:pStyle w:val="FirstParagraph"/>
      </w:pPr>
      <w:r>
        <w:rPr>
          <w:b/>
        </w:rPr>
        <w:t xml:space="preserve">Confidential — internal use only.</w:t>
      </w:r>
      <w:r>
        <w:t xml:space="preserve"> </w:t>
      </w:r>
      <w:r>
        <w:t xml:space="preserve">How NIYTRI staff vet a prospective partner, issue and manage Open Partner API keys, and hand over integration materials. Not for external distribution — share the separate</w:t>
      </w:r>
      <w:r>
        <w:t xml:space="preserve"> </w:t>
      </w:r>
      <w:r>
        <w:rPr>
          <w:i/>
        </w:rPr>
        <w:t xml:space="preserve">NIYTRI Open Partner API — Integration Guide</w:t>
      </w:r>
      <w:r>
        <w:t xml:space="preserve"> </w:t>
      </w:r>
      <w:r>
        <w:t xml:space="preserve">with partners instead.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1. Overview</w:t>
      </w:r>
      <w:bookmarkEnd w:id="21"/>
    </w:p>
    <w:p>
      <w:pPr>
        <w:pStyle w:val="FirstParagraph"/>
      </w:pPr>
      <w:r>
        <w:t xml:space="preserve">The Open Partner API (</w:t>
      </w:r>
      <w:r>
        <w:rPr>
          <w:rStyle w:val="VerbatimChar"/>
        </w:rPr>
        <w:t xml:space="preserve">/api/partner/v1</w:t>
      </w:r>
      <w:r>
        <w:t xml:space="preserve">) gives approved partners server-to-server access to NIYTRI’s AI scores, instruments, news, the assistant, portfolio analysis and the screener. Access is controlled per</w:t>
      </w:r>
      <w:r>
        <w:t xml:space="preserve"> </w:t>
      </w:r>
      <w:r>
        <w:rPr>
          <w:b/>
        </w:rPr>
        <w:t xml:space="preserve">API key</w:t>
      </w:r>
      <w:r>
        <w:t xml:space="preserve">, each carrying</w:t>
      </w:r>
      <w:r>
        <w:t xml:space="preserve"> </w:t>
      </w:r>
      <w:r>
        <w:rPr>
          <w:b/>
        </w:rPr>
        <w:t xml:space="preserve">scopes</w:t>
      </w:r>
      <w:r>
        <w:t xml:space="preserve">, a</w:t>
      </w:r>
      <w:r>
        <w:t xml:space="preserve"> </w:t>
      </w:r>
      <w:r>
        <w:rPr>
          <w:b/>
        </w:rPr>
        <w:t xml:space="preserve">rate limit</w:t>
      </w:r>
      <w:r>
        <w:t xml:space="preserve">, and an optional</w:t>
      </w:r>
      <w:r>
        <w:t xml:space="preserve"> </w:t>
      </w:r>
      <w:r>
        <w:rPr>
          <w:b/>
        </w:rPr>
        <w:t xml:space="preserve">IP allowlist</w:t>
      </w:r>
      <w:r>
        <w:t xml:space="preserve">. Keys are managed in</w:t>
      </w:r>
      <w:r>
        <w:t xml:space="preserve"> </w:t>
      </w:r>
      <w:r>
        <w:rPr>
          <w:b/>
        </w:rPr>
        <w:t xml:space="preserve">Admin → Partner API</w:t>
      </w:r>
      <w:r>
        <w:t xml:space="preserve"> </w:t>
      </w:r>
      <w:r>
        <w:t xml:space="preserve">(admin login required).</w:t>
      </w:r>
    </w:p>
    <w:p>
      <w:pPr>
        <w:pStyle w:val="Heading2"/>
      </w:pPr>
      <w:bookmarkStart w:id="22" w:name="step-1-vet-the-partner-waitlist-review"/>
      <w:r>
        <w:t xml:space="preserve">2. Step 1 — Vet the partner (waitlist review)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Prospects land on the</w:t>
      </w:r>
      <w:r>
        <w:t xml:space="preserve"> </w:t>
      </w:r>
      <w:r>
        <w:rPr>
          <w:b/>
        </w:rPr>
        <w:t xml:space="preserve">Waitlist</w:t>
      </w:r>
      <w:r>
        <w:t xml:space="preserve"> </w:t>
      </w:r>
      <w:r>
        <w:t xml:space="preserve">(Landing → Waitlist). Each entry captures their</w:t>
      </w:r>
      <w:r>
        <w:t xml:space="preserve"> </w:t>
      </w:r>
      <w:r>
        <w:rPr>
          <w:b/>
        </w:rPr>
        <w:t xml:space="preserve">email</w:t>
      </w:r>
      <w:r>
        <w:t xml:space="preserve"> </w:t>
      </w:r>
      <w:r>
        <w:t xml:space="preserve">and a mandatory</w:t>
      </w:r>
      <w:r>
        <w:t xml:space="preserve"> </w:t>
      </w:r>
      <w:r>
        <w:rPr>
          <w:b/>
        </w:rPr>
        <w:t xml:space="preserve">objective</w:t>
      </w:r>
      <w:r>
        <w:t xml:space="preserve"> </w:t>
      </w:r>
      <w:r>
        <w:t xml:space="preserve">(</w:t>
      </w:r>
      <w:r>
        <w:t xml:space="preserve">“</w:t>
      </w:r>
      <w:r>
        <w:t xml:space="preserve">What do you want to achieve with NIYTRI AI Intelligence?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In</w:t>
      </w:r>
      <w:r>
        <w:t xml:space="preserve"> </w:t>
      </w:r>
      <w:r>
        <w:rPr>
          <w:b/>
        </w:rPr>
        <w:t xml:space="preserve">Admin → Users → Waitlist</w:t>
      </w:r>
      <w:r>
        <w:t xml:space="preserve">, review the objective under each email.</w:t>
      </w:r>
    </w:p>
    <w:p>
      <w:pPr>
        <w:numPr>
          <w:ilvl w:val="0"/>
          <w:numId w:val="1001"/>
        </w:numPr>
        <w:pStyle w:val="Compact"/>
      </w:pPr>
      <w:r>
        <w:t xml:space="preserve">Decide</w:t>
      </w:r>
      <w:r>
        <w:t xml:space="preserve"> </w:t>
      </w:r>
      <w:r>
        <w:rPr>
          <w:b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Remove</w:t>
      </w:r>
      <w:r>
        <w:t xml:space="preserve">. Approving emails the applicant a one-time invite code and removes them from the waitlist. (API-key issuance below is separate from end-user invites.)</w:t>
      </w:r>
    </w:p>
    <w:p>
      <w:pPr>
        <w:pStyle w:val="Heading2"/>
      </w:pPr>
      <w:bookmarkStart w:id="23" w:name="step-2-create-the-api-key"/>
      <w:r>
        <w:t xml:space="preserve">3. Step 2 — Create the API key</w:t>
      </w:r>
      <w:bookmarkEnd w:id="23"/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</w:rPr>
        <w:t xml:space="preserve">Admin → Partner API → Create a new key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Partner name</w:t>
      </w:r>
      <w:r>
        <w:t xml:space="preserve"> </w:t>
      </w:r>
      <w:r>
        <w:t xml:space="preserve">— the integration/organisation (e.g. </w:t>
      </w:r>
      <w:r>
        <w:t xml:space="preserve">“</w:t>
      </w:r>
      <w:r>
        <w:t xml:space="preserve">Acme Securities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Scopes</w:t>
      </w:r>
      <w:r>
        <w:t xml:space="preserve"> </w:t>
      </w:r>
      <w:r>
        <w:t xml:space="preserve">— tick only what the partner needs (least privilege). See §7.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Rate limit (per min)</w:t>
      </w:r>
      <w:r>
        <w:t xml:space="preserve"> </w:t>
      </w:r>
      <w:r>
        <w:t xml:space="preserve">— default 60; set per expected load.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Allowed IPs</w:t>
      </w:r>
      <w:r>
        <w:t xml:space="preserve"> </w:t>
      </w:r>
      <w:r>
        <w:rPr>
          <w:i/>
        </w:rPr>
        <w:t xml:space="preserve">(optional)</w:t>
      </w:r>
      <w:r>
        <w:t xml:space="preserve"> </w:t>
      </w:r>
      <w:r>
        <w:t xml:space="preserve">— comma-separated IPs/CIDRs the key may be used from (e.g. </w:t>
      </w:r>
      <w:r>
        <w:rPr>
          <w:rStyle w:val="VerbatimChar"/>
        </w:rPr>
        <w:t xml:space="preserve">13.234.135.5, 10.0.0.0/24</w:t>
      </w:r>
      <w:r>
        <w:t xml:space="preserve">). Blank = any IP.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Create key</w:t>
      </w:r>
      <w:r>
        <w:t xml:space="preserve">.</w:t>
      </w:r>
    </w:p>
    <w:p>
      <w:pPr>
        <w:pStyle w:val="FirstParagraph"/>
      </w:pPr>
      <w:r>
        <w:t xml:space="preserve">The full key (</w:t>
      </w:r>
      <w:r>
        <w:rPr>
          <w:rStyle w:val="VerbatimChar"/>
        </w:rPr>
        <w:t xml:space="preserve">niy_live_…</w:t>
      </w:r>
      <w:r>
        <w:t xml:space="preserve">) is shown</w:t>
      </w:r>
      <w:r>
        <w:t xml:space="preserve"> </w:t>
      </w:r>
      <w:r>
        <w:rPr>
          <w:b/>
        </w:rPr>
        <w:t xml:space="preserve">once</w:t>
      </w:r>
      <w:r>
        <w:t xml:space="preserve">. NIYTRI stores only its hash — it cannot be retrieved again.</w:t>
      </w:r>
    </w:p>
    <w:p>
      <w:pPr>
        <w:pStyle w:val="Heading2"/>
      </w:pPr>
      <w:bookmarkStart w:id="24" w:name="step-3-hand-the-key-over-securely"/>
      <w:r>
        <w:t xml:space="preserve">4. Step 3 — Hand the key over securely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Share over a</w:t>
      </w:r>
      <w:r>
        <w:t xml:space="preserve"> </w:t>
      </w:r>
      <w:r>
        <w:rPr>
          <w:b/>
        </w:rPr>
        <w:t xml:space="preserve">secure channel</w:t>
      </w:r>
      <w:r>
        <w:t xml:space="preserve"> </w:t>
      </w:r>
      <w:r>
        <w:t xml:space="preserve">(secrets-manager link, encrypted message) — never plain email or chat/tickets.</w:t>
      </w:r>
    </w:p>
    <w:p>
      <w:pPr>
        <w:numPr>
          <w:ilvl w:val="0"/>
          <w:numId w:val="1003"/>
        </w:numPr>
        <w:pStyle w:val="Compact"/>
      </w:pPr>
      <w:r>
        <w:t xml:space="preserve">It is a</w:t>
      </w:r>
      <w:r>
        <w:t xml:space="preserve"> </w:t>
      </w:r>
      <w:r>
        <w:rPr>
          <w:b/>
        </w:rPr>
        <w:t xml:space="preserve">server-to-server credential</w:t>
      </w:r>
      <w:r>
        <w:t xml:space="preserve">: never embed in a browser, mobile binary, or public repo.</w:t>
      </w:r>
    </w:p>
    <w:p>
      <w:pPr>
        <w:numPr>
          <w:ilvl w:val="0"/>
          <w:numId w:val="1003"/>
        </w:numPr>
        <w:pStyle w:val="Compact"/>
      </w:pPr>
      <w:r>
        <w:t xml:space="preserve">If lost or leaked,</w:t>
      </w:r>
      <w:r>
        <w:t xml:space="preserve"> </w:t>
      </w:r>
      <w:r>
        <w:rPr>
          <w:b/>
        </w:rPr>
        <w:t xml:space="preserve">revoke and reissue</w:t>
      </w:r>
      <w:r>
        <w:t xml:space="preserve"> </w:t>
      </w:r>
      <w:r>
        <w:t xml:space="preserve">(§6).</w:t>
      </w:r>
    </w:p>
    <w:p>
      <w:pPr>
        <w:pStyle w:val="Heading2"/>
      </w:pPr>
      <w:bookmarkStart w:id="25" w:name="step-4-hand-over-integration-materials"/>
      <w:r>
        <w:t xml:space="preserve">5. Step 4 — Hand over integration materials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Integration Guide</w:t>
      </w:r>
      <w:r>
        <w:t xml:space="preserve"> </w:t>
      </w:r>
      <w:r>
        <w:t xml:space="preserve">(partner-facing DOCX /</w:t>
      </w:r>
      <w:r>
        <w:t xml:space="preserve"> </w:t>
      </w:r>
      <w:r>
        <w:rPr>
          <w:rStyle w:val="VerbatimChar"/>
        </w:rPr>
        <w:t xml:space="preserve">docs/PARTNER_API.md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Postman collection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docs/NIYTRI_Partner_API.postman_collection.json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https://dev-invest.niytri.com/api/partner/v1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Interactive docs: Swagger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 ReDoc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, spec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.</w:t>
      </w:r>
    </w:p>
    <w:p>
      <w:pPr>
        <w:pStyle w:val="Heading2"/>
      </w:pPr>
      <w:bookmarkStart w:id="26" w:name="step-5-monitor-rotate-revoke"/>
      <w:r>
        <w:t xml:space="preserve">6. Step 5 — Monitor, rotate, revoke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Monitor</w:t>
      </w:r>
      <w:r>
        <w:t xml:space="preserve"> </w:t>
      </w:r>
      <w:r>
        <w:t xml:space="preserve">each key in Admin → Partner API: Calls, Last used, scopes, IP restriction, status.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Rotate</w:t>
      </w:r>
      <w:r>
        <w:t xml:space="preserve"> </w:t>
      </w:r>
      <w:r>
        <w:t xml:space="preserve">periodically or on staff/vendor change: create new, switch, revoke old.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Revoke</w:t>
      </w:r>
      <w:r>
        <w:t xml:space="preserve"> </w:t>
      </w:r>
      <w:r>
        <w:t xml:space="preserve">immediately on suspected leak (</w:t>
      </w:r>
      <w:r>
        <w:rPr>
          <w:b/>
        </w:rPr>
        <w:t xml:space="preserve">Revoke</w:t>
      </w:r>
      <w:r>
        <w:t xml:space="preserve"> </w:t>
      </w:r>
      <w:r>
        <w:t xml:space="preserve">→ calls fail with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at once).</w:t>
      </w:r>
      <w:r>
        <w:t xml:space="preserve"> </w:t>
      </w:r>
      <w:r>
        <w:rPr>
          <w:b/>
        </w:rPr>
        <w:t xml:space="preserve">Delete</w:t>
      </w:r>
      <w:r>
        <w:t xml:space="preserve"> </w:t>
      </w:r>
      <w:r>
        <w:t xml:space="preserve">removes the record.</w:t>
      </w:r>
    </w:p>
    <w:p>
      <w:pPr>
        <w:pStyle w:val="Heading2"/>
      </w:pPr>
      <w:bookmarkStart w:id="27" w:name="scopes-reference"/>
      <w:r>
        <w:t xml:space="preserve">7. Scopes reference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Grants access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scores</w:t>
            </w:r>
          </w:p>
        </w:tc>
        <w:tc>
          <w:p>
            <w:pPr>
              <w:pStyle w:val="Compact"/>
              <w:jc w:val="left"/>
            </w:pPr>
            <w:r>
              <w:t xml:space="preserve">GET /instruments, GET /scores, GET /scores/{symbol}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news</w:t>
            </w:r>
          </w:p>
        </w:tc>
        <w:tc>
          <w:p>
            <w:pPr>
              <w:pStyle w:val="Compact"/>
              <w:jc w:val="left"/>
            </w:pPr>
            <w:r>
              <w:t xml:space="preserve">GET /news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p>
            <w:pPr>
              <w:pStyle w:val="Compact"/>
              <w:jc w:val="left"/>
            </w:pPr>
            <w:r>
              <w:t xml:space="preserve">POST /ask (assistant)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p>
            <w:pPr>
              <w:pStyle w:val="Compact"/>
              <w:jc w:val="left"/>
            </w:pPr>
            <w:r>
              <w:t xml:space="preserve">POST /portfolio/analyze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p>
            <w:pPr>
              <w:pStyle w:val="Compact"/>
              <w:jc w:val="left"/>
            </w:pPr>
            <w:r>
              <w:t xml:space="preserve">GET /screener/themes, POST /screen</w:t>
            </w:r>
          </w:p>
        </w:tc>
      </w:tr>
    </w:tbl>
    <w:p>
      <w:pPr>
        <w:pStyle w:val="BodyText"/>
      </w:pPr>
      <w:r>
        <w:t xml:space="preserve">Grant only the scopes the use case requires.</w:t>
      </w:r>
    </w:p>
    <w:p>
      <w:pPr>
        <w:pStyle w:val="Heading2"/>
      </w:pPr>
      <w:bookmarkStart w:id="28" w:name="ip-restriction-notes"/>
      <w:r>
        <w:t xml:space="preserve">8. IP restriction notes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Accepts individual IPs and CIDR ranges.</w:t>
      </w:r>
    </w:p>
    <w:p>
      <w:pPr>
        <w:numPr>
          <w:ilvl w:val="0"/>
          <w:numId w:val="1006"/>
        </w:numPr>
        <w:pStyle w:val="Compact"/>
      </w:pPr>
      <w:r>
        <w:t xml:space="preserve">Behind nginx, the client IP is the first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hop — the partner’s real egress IP must be listed (not the proxy’s).</w:t>
      </w:r>
    </w:p>
    <w:p>
      <w:pPr>
        <w:numPr>
          <w:ilvl w:val="0"/>
          <w:numId w:val="1006"/>
        </w:numPr>
        <w:pStyle w:val="Compact"/>
      </w:pPr>
      <w:r>
        <w:t xml:space="preserve">Non-allowed IP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pPr>
        <w:pStyle w:val="Heading2"/>
      </w:pPr>
      <w:bookmarkStart w:id="29" w:name="security-compliance"/>
      <w:r>
        <w:t xml:space="preserve">9. Security &amp; compliance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Keys stored only as SHA-256 hashes; plaintext never persisted.</w:t>
      </w:r>
    </w:p>
    <w:p>
      <w:pPr>
        <w:numPr>
          <w:ilvl w:val="0"/>
          <w:numId w:val="1007"/>
        </w:numPr>
        <w:pStyle w:val="Compact"/>
      </w:pPr>
      <w:r>
        <w:t xml:space="preserve">Every response is</w:t>
      </w:r>
      <w:r>
        <w:t xml:space="preserve"> </w:t>
      </w:r>
      <w:r>
        <w:rPr>
          <w:b/>
        </w:rPr>
        <w:t xml:space="preserve">informational only — not investment advice</w:t>
      </w:r>
      <w:r>
        <w:t xml:space="preserve">; methodology is confidential. Partners must surface the</w:t>
      </w:r>
      <w:r>
        <w:t xml:space="preserve"> </w:t>
      </w:r>
      <w:r>
        <w:rPr>
          <w:rStyle w:val="VerbatimChar"/>
        </w:rPr>
        <w:t xml:space="preserve">disclaimer</w:t>
      </w:r>
      <w:r>
        <w:t xml:space="preserve"> </w:t>
      </w:r>
      <w:r>
        <w:t xml:space="preserve">field.</w:t>
      </w:r>
    </w:p>
    <w:p>
      <w:pPr>
        <w:numPr>
          <w:ilvl w:val="0"/>
          <w:numId w:val="1007"/>
        </w:numPr>
        <w:pStyle w:val="Compact"/>
      </w:pPr>
      <w:r>
        <w:t xml:space="preserve">Rate limits and IP allowlists enforced server-side on every call.</w:t>
      </w:r>
    </w:p>
    <w:p>
      <w:pPr>
        <w:pStyle w:val="Heading2"/>
      </w:pPr>
      <w:bookmarkStart w:id="30" w:name="troubleshooting-partner-reports"/>
      <w:r>
        <w:t xml:space="preserve">10. Troubleshooting (partner reports)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 /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p>
            <w:pPr>
              <w:pStyle w:val="Compact"/>
              <w:jc w:val="left"/>
            </w:pPr>
            <w:r>
              <w:t xml:space="preserve">Missing/invalid/revoked key — reissue.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 (scope)</w:t>
            </w:r>
          </w:p>
        </w:tc>
        <w:tc>
          <w:p>
            <w:pPr>
              <w:pStyle w:val="Compact"/>
              <w:jc w:val="left"/>
            </w:pPr>
            <w:r>
              <w:t xml:space="preserve">Key lacks scope — grant it or redirect.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 (IP)</w:t>
            </w:r>
          </w:p>
        </w:tc>
        <w:tc>
          <w:p>
            <w:pPr>
              <w:pStyle w:val="Compact"/>
              <w:jc w:val="left"/>
            </w:pPr>
            <w:r>
              <w:t xml:space="preserve">IP not on allowlist — add their egress IP.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429 Too Many Requests</w:t>
            </w:r>
          </w:p>
        </w:tc>
        <w:tc>
          <w:p>
            <w:pPr>
              <w:pStyle w:val="Compact"/>
              <w:jc w:val="left"/>
            </w:pPr>
            <w:r>
              <w:t xml:space="preserve">Rate limit — advise backoff/caching or raise.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p>
            <w:pPr>
              <w:pStyle w:val="Compact"/>
              <w:jc w:val="left"/>
            </w:pPr>
            <w:r>
              <w:t xml:space="preserve">AI engine briefly down — retry with backoff.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Internal SOP. API outputs are AI-generated where indicated and must be reviewed before business or regulatory use. Informational only; not investment advice.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NIYTRI Partner Onboarding — Internal SOP</dc:title>
  <dc:creator/>
  <cp:keywords/>
  <dcterms:created xsi:type="dcterms:W3CDTF">2026-10-25T07:14:15Z</dcterms:created>
  <dcterms:modified xsi:type="dcterms:W3CDTF">2026-10-25T07:14:15Z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