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7B4B9"/>
          <w:sz w:val="20"/>
          <w:szCs w:val="20"/>
        </w:rPr>
        <w:t xml:space="preserve">Ashika Stock Services LTD</w:t>
      </w:r>
    </w:p>
    <w:p>
      <w:pPr>
        <w:spacing w:after="90"/>
      </w:pPr>
      <w:r>
        <w:rPr>
          <w:b/>
          <w:bCs/>
          <w:color w:val="243F8E"/>
          <w:sz w:val="34"/>
          <w:szCs w:val="34"/>
        </w:rPr>
        <w:t xml:space="preserve">OFS Bidding Module — ready for UAT</w:t>
      </w:r>
    </w:p>
    <w:p>
      <w:pPr>
        <w:pBdr>
          <w:bottom w:val="single" w:color="D8E2EC" w:sz="6" w:space="8"/>
        </w:pBdr>
        <w:spacing w:after="260"/>
      </w:pPr>
      <w:r>
        <w:rPr>
          <w:color w:val="6B7F9E"/>
          <w:sz w:val="18"/>
          <w:szCs w:val="18"/>
        </w:rPr>
        <w:t xml:space="preserve">https://ofs-bids.ashikagroup.com   ·   12 September 2026</w:t>
      </w:r>
    </w:p>
    <w:p>
      <w:pPr>
        <w:spacing w:after="140" w:before="0"/>
      </w:pPr>
      <w:r>
        <w:rPr>
          <w:sz w:val="20"/>
          <w:szCs w:val="20"/>
        </w:rPr>
        <w:t xml:space="preserve">Development of the Offer for Sale (OFS) bidding module is complete and deployed to the UAT environment. This note sets out what it does, what to test, and the few items still needed from Ashika before go-live.</w:t>
      </w:r>
    </w:p>
    <w:p>
      <w:pPr>
        <w:pStyle w:val="Heading1"/>
        <w:spacing w:after="140" w:before="300"/>
      </w:pPr>
      <w:r>
        <w:t xml:space="preserve">What has been built</w:t>
      </w:r>
    </w:p>
    <w:tbl>
      <w:tblPr>
        <w:tblW w:type="dxa" w:w="9360"/>
        <w:tblBorders>
          <w:top w:val="single" w:color="D8E2EC" w:sz="2"/>
          <w:left w:val="single" w:color="D8E2EC" w:sz="2"/>
          <w:bottom w:val="single" w:color="D8E2EC" w:sz="2"/>
          <w:right w:val="single" w:color="D8E2EC" w:sz="2"/>
          <w:insideH w:val="single" w:color="E6EDF4" w:sz="2"/>
          <w:insideV w:val="single" w:color="E6EDF4" w:sz="2"/>
        </w:tblBorders>
      </w:tblPr>
      <w:tblGrid>
        <w:gridCol w:w="1900"/>
        <w:gridCol w:w="7460"/>
      </w:tblGrid>
      <w:tr>
        <w:trPr>
          <w:tblHeader/>
        </w:trPr>
        <w:tc>
          <w:tcPr>
            <w:tcW w:type="dxa" w:w="1900"/>
            <w:shd w:fill="EEF3F8" w:val="clear"/>
            <w:tcMar>
              <w:top w:type="dxa" w:w="70"/>
              <w:left w:type="dxa" w:w="110"/>
              <w:bottom w:type="dxa" w:w="70"/>
              <w:right w:type="dxa" w:w="110"/>
            </w:tcMar>
          </w:tcPr>
          <w:p>
            <w:pPr>
              <w:spacing w:after="0"/>
            </w:pPr>
            <w:r>
              <w:rPr>
                <w:b/>
                <w:bCs/>
                <w:color w:val="243F8E"/>
                <w:sz w:val="17"/>
                <w:szCs w:val="17"/>
              </w:rPr>
              <w:t xml:space="preserve">Who</w:t>
            </w:r>
          </w:p>
        </w:tc>
        <w:tc>
          <w:tcPr>
            <w:tcW w:type="dxa" w:w="7460"/>
            <w:shd w:fill="EEF3F8" w:val="clear"/>
            <w:tcMar>
              <w:top w:type="dxa" w:w="70"/>
              <w:left w:type="dxa" w:w="110"/>
              <w:bottom w:type="dxa" w:w="70"/>
              <w:right w:type="dxa" w:w="110"/>
            </w:tcMar>
          </w:tcPr>
          <w:p>
            <w:pPr>
              <w:spacing w:after="0"/>
            </w:pPr>
            <w:r>
              <w:rPr>
                <w:b/>
                <w:bCs/>
                <w:color w:val="243F8E"/>
                <w:sz w:val="17"/>
                <w:szCs w:val="17"/>
              </w:rPr>
              <w:t xml:space="preserve">What they can do</w:t>
            </w:r>
          </w:p>
        </w:tc>
      </w:tr>
      <w:tr>
        <w:tc>
          <w:tcPr>
            <w:tcW w:type="dxa" w:w="1900"/>
            <w:tcMar>
              <w:top w:type="dxa" w:w="70"/>
              <w:left w:type="dxa" w:w="110"/>
              <w:bottom w:type="dxa" w:w="70"/>
              <w:right w:type="dxa" w:w="110"/>
            </w:tcMar>
          </w:tcPr>
          <w:p>
            <w:pPr>
              <w:spacing w:after="0"/>
            </w:pPr>
            <w:r>
              <w:rPr>
                <w:sz w:val="18"/>
                <w:szCs w:val="18"/>
              </w:rPr>
              <w:t xml:space="preserve">Back office</w:t>
            </w:r>
          </w:p>
        </w:tc>
        <w:tc>
          <w:tcPr>
            <w:tcW w:type="dxa" w:w="7460"/>
            <w:tcMar>
              <w:top w:type="dxa" w:w="70"/>
              <w:left w:type="dxa" w:w="110"/>
              <w:bottom w:type="dxa" w:w="70"/>
              <w:right w:type="dxa" w:w="110"/>
            </w:tcMar>
          </w:tcPr>
          <w:p>
            <w:pPr>
              <w:spacing w:after="0"/>
            </w:pPr>
            <w:r>
              <w:rPr>
                <w:sz w:val="18"/>
                <w:szCs w:val="18"/>
              </w:rPr>
              <w:t xml:space="preserve">Load the issue master from the exchange or a CSV, attach the circular or member notice, place and modify bids for any client, maintain margins, watch the book live, and generate the NSE and BSE bid files.</w:t>
            </w:r>
          </w:p>
        </w:tc>
      </w:tr>
      <w:tr>
        <w:tc>
          <w:tcPr>
            <w:tcW w:type="dxa" w:w="1900"/>
            <w:tcMar>
              <w:top w:type="dxa" w:w="70"/>
              <w:left w:type="dxa" w:w="110"/>
              <w:bottom w:type="dxa" w:w="70"/>
              <w:right w:type="dxa" w:w="110"/>
            </w:tcMar>
          </w:tcPr>
          <w:p>
            <w:pPr>
              <w:spacing w:after="0"/>
            </w:pPr>
            <w:r>
              <w:rPr>
                <w:sz w:val="18"/>
                <w:szCs w:val="18"/>
              </w:rPr>
              <w:t xml:space="preserve">Branch / Authorised Partner</w:t>
            </w:r>
          </w:p>
        </w:tc>
        <w:tc>
          <w:tcPr>
            <w:tcW w:type="dxa" w:w="7460"/>
            <w:tcMar>
              <w:top w:type="dxa" w:w="70"/>
              <w:left w:type="dxa" w:w="110"/>
              <w:bottom w:type="dxa" w:w="70"/>
              <w:right w:type="dxa" w:w="110"/>
            </w:tcMar>
          </w:tcPr>
          <w:p>
            <w:pPr>
              <w:spacing w:after="0"/>
            </w:pPr>
            <w:r>
              <w:rPr>
                <w:sz w:val="18"/>
                <w:szCs w:val="18"/>
              </w:rPr>
              <w:t xml:space="preserve">Sign in with their registered branch email and a one-time code, see only their own clients, place and modify bids for them, and see every bid on those clients — whether the branch, the back office or the client placed it.</w:t>
            </w:r>
          </w:p>
        </w:tc>
      </w:tr>
      <w:tr>
        <w:tc>
          <w:tcPr>
            <w:tcW w:type="dxa" w:w="1900"/>
            <w:tcMar>
              <w:top w:type="dxa" w:w="70"/>
              <w:left w:type="dxa" w:w="110"/>
              <w:bottom w:type="dxa" w:w="70"/>
              <w:right w:type="dxa" w:w="110"/>
            </w:tcMar>
          </w:tcPr>
          <w:p>
            <w:pPr>
              <w:spacing w:after="0"/>
            </w:pPr>
            <w:r>
              <w:rPr>
                <w:sz w:val="18"/>
                <w:szCs w:val="18"/>
              </w:rPr>
              <w:t xml:space="preserve">Client</w:t>
            </w:r>
          </w:p>
        </w:tc>
        <w:tc>
          <w:tcPr>
            <w:tcW w:type="dxa" w:w="7460"/>
            <w:tcMar>
              <w:top w:type="dxa" w:w="70"/>
              <w:left w:type="dxa" w:w="110"/>
              <w:bottom w:type="dxa" w:w="70"/>
              <w:right w:type="dxa" w:w="110"/>
            </w:tcMar>
          </w:tcPr>
          <w:p>
            <w:pPr>
              <w:spacing w:after="0"/>
            </w:pPr>
            <w:r>
              <w:rPr>
                <w:sz w:val="18"/>
                <w:szCs w:val="18"/>
              </w:rPr>
              <w:t xml:space="preserve">Sign in with their registered mobile or email and a one-time code, see the open issues, place their own bid, modify or withdraw it until the cut-off, and see their allotment when it is published.</w:t>
            </w:r>
          </w:p>
        </w:tc>
      </w:tr>
    </w:tbl>
    <w:p>
      <w:pPr>
        <w:spacing w:after="140" w:before="120"/>
      </w:pPr>
      <w:r>
        <w:rPr>
          <w:sz w:val="20"/>
          <w:szCs w:val="20"/>
        </w:rPr>
        <w:t xml:space="preserve">Throughout, the rules the exchanges impose are enforced by the application rather than left to the person at the screen: the ₹2,00,000 retail cap counted across every bid a client has on an issue, the non-institutional minimum, the tick and lot, the separate Retail and Non-Retail windows, cut-off bidding restricted to Retail, and the daily desk cut-off which overrides the exchange window. A bid that breaks one of these is refused with a sentence saying exactly which figure is wrong and why.</w:t>
      </w:r>
    </w:p>
    <w:p>
      <w:pPr>
        <w:pStyle w:val="Heading1"/>
        <w:spacing w:after="140" w:before="300"/>
      </w:pPr>
      <w:r>
        <w:t xml:space="preserve">Controls worth knowing about</w:t>
      </w:r>
    </w:p>
    <w:p>
      <w:pPr>
        <w:pStyle w:val="ListParagraph"/>
        <w:numPr>
          <w:ilvl w:val="0"/>
          <w:numId w:val="1"/>
        </w:numPr>
        <w:spacing w:after="70"/>
      </w:pPr>
      <w:r>
        <w:t xml:space="preserve">Every bid placed on a client’s behalf requires a one-time code sent to that client, so there is a record that they agreed. A client bidding for themselves is never asked for one.</w:t>
      </w:r>
    </w:p>
    <w:p>
      <w:pPr>
        <w:pStyle w:val="ListParagraph"/>
        <w:numPr>
          <w:ilvl w:val="0"/>
          <w:numId w:val="1"/>
        </w:numPr>
        <w:spacing w:after="70"/>
      </w:pPr>
      <w:r>
        <w:t xml:space="preserve">An issue listed on both exchanges requires the exchange to be chosen at bid time, so a single bid can never reach both files and be submitted twice.</w:t>
      </w:r>
    </w:p>
    <w:p>
      <w:pPr>
        <w:pStyle w:val="ListParagraph"/>
        <w:numPr>
          <w:ilvl w:val="0"/>
          <w:numId w:val="1"/>
        </w:numPr>
        <w:spacing w:after="70"/>
      </w:pPr>
      <w:r>
        <w:t xml:space="preserve">Only clients who are Active in the back-office master may be bid for. Dormant, Closed and Suspended accounts are refused.</w:t>
      </w:r>
    </w:p>
    <w:p>
      <w:pPr>
        <w:pStyle w:val="ListParagraph"/>
        <w:numPr>
          <w:ilvl w:val="0"/>
          <w:numId w:val="1"/>
        </w:numPr>
        <w:spacing w:after="70"/>
      </w:pPr>
      <w:r>
        <w:t xml:space="preserve">Every action is written to an audit trail with who, when and from where, and every email sent by the module appears in the existing Email &amp; OTP Logs alongside the rest of the platform.</w:t>
      </w:r>
    </w:p>
    <w:p>
      <w:pPr>
        <w:pStyle w:val="ListParagraph"/>
        <w:numPr>
          <w:ilvl w:val="0"/>
          <w:numId w:val="1"/>
        </w:numPr>
        <w:spacing w:after="70"/>
      </w:pPr>
      <w:r>
        <w:t xml:space="preserve">Back-office sign-in requires a password and an emailed one-time code.</w:t>
      </w:r>
    </w:p>
    <w:p>
      <w:pPr>
        <w:pStyle w:val="Heading1"/>
        <w:spacing w:after="140" w:before="300"/>
      </w:pPr>
      <w:r>
        <w:t xml:space="preserve">Please test these</w:t>
      </w:r>
    </w:p>
    <w:p>
      <w:pPr>
        <w:spacing w:after="140" w:before="0"/>
      </w:pPr>
      <w:r>
        <w:rPr>
          <w:sz w:val="20"/>
          <w:szCs w:val="20"/>
        </w:rPr>
        <w:t xml:space="preserve">A short pass that covers the paths that matter. The team can supply logins and a test issue.</w:t>
      </w:r>
    </w:p>
    <w:tbl>
      <w:tblPr>
        <w:tblW w:type="dxa" w:w="9360"/>
        <w:tblBorders>
          <w:top w:val="single" w:color="D8E2EC" w:sz="2"/>
          <w:left w:val="single" w:color="D8E2EC" w:sz="2"/>
          <w:bottom w:val="single" w:color="D8E2EC" w:sz="2"/>
          <w:right w:val="single" w:color="D8E2EC" w:sz="2"/>
          <w:insideH w:val="single" w:color="E6EDF4" w:sz="2"/>
          <w:insideV w:val="single" w:color="E6EDF4" w:sz="2"/>
        </w:tblBorders>
      </w:tblPr>
      <w:tblGrid>
        <w:gridCol w:w="500"/>
        <w:gridCol w:w="3700"/>
        <w:gridCol w:w="5160"/>
      </w:tblGrid>
      <w:tr>
        <w:trPr>
          <w:tblHeader/>
        </w:trPr>
        <w:tc>
          <w:tcPr>
            <w:tcW w:type="dxa" w:w="500"/>
            <w:shd w:fill="EEF3F8" w:val="clear"/>
            <w:tcMar>
              <w:top w:type="dxa" w:w="70"/>
              <w:left w:type="dxa" w:w="110"/>
              <w:bottom w:type="dxa" w:w="70"/>
              <w:right w:type="dxa" w:w="110"/>
            </w:tcMar>
          </w:tcPr>
          <w:p>
            <w:pPr>
              <w:spacing w:after="0"/>
            </w:pPr>
            <w:r>
              <w:rPr>
                <w:b/>
                <w:bCs/>
                <w:color w:val="243F8E"/>
                <w:sz w:val="17"/>
                <w:szCs w:val="17"/>
              </w:rPr>
              <w:t xml:space="preserve">#</w:t>
            </w:r>
          </w:p>
        </w:tc>
        <w:tc>
          <w:tcPr>
            <w:tcW w:type="dxa" w:w="3700"/>
            <w:shd w:fill="EEF3F8" w:val="clear"/>
            <w:tcMar>
              <w:top w:type="dxa" w:w="70"/>
              <w:left w:type="dxa" w:w="110"/>
              <w:bottom w:type="dxa" w:w="70"/>
              <w:right w:type="dxa" w:w="110"/>
            </w:tcMar>
          </w:tcPr>
          <w:p>
            <w:pPr>
              <w:spacing w:after="0"/>
            </w:pPr>
            <w:r>
              <w:rPr>
                <w:b/>
                <w:bCs/>
                <w:color w:val="243F8E"/>
                <w:sz w:val="17"/>
                <w:szCs w:val="17"/>
              </w:rPr>
              <w:t xml:space="preserve">Test</w:t>
            </w:r>
          </w:p>
        </w:tc>
        <w:tc>
          <w:tcPr>
            <w:tcW w:type="dxa" w:w="5160"/>
            <w:shd w:fill="EEF3F8" w:val="clear"/>
            <w:tcMar>
              <w:top w:type="dxa" w:w="70"/>
              <w:left w:type="dxa" w:w="110"/>
              <w:bottom w:type="dxa" w:w="70"/>
              <w:right w:type="dxa" w:w="110"/>
            </w:tcMar>
          </w:tcPr>
          <w:p>
            <w:pPr>
              <w:spacing w:after="0"/>
            </w:pPr>
            <w:r>
              <w:rPr>
                <w:b/>
                <w:bCs/>
                <w:color w:val="243F8E"/>
                <w:sz w:val="17"/>
                <w:szCs w:val="17"/>
              </w:rPr>
              <w:t xml:space="preserve">What should happen</w:t>
            </w:r>
          </w:p>
        </w:tc>
      </w:tr>
      <w:tr>
        <w:tc>
          <w:tcPr>
            <w:tcW w:type="dxa" w:w="500"/>
            <w:tcMar>
              <w:top w:type="dxa" w:w="70"/>
              <w:left w:type="dxa" w:w="110"/>
              <w:bottom w:type="dxa" w:w="70"/>
              <w:right w:type="dxa" w:w="110"/>
            </w:tcMar>
          </w:tcPr>
          <w:p>
            <w:pPr>
              <w:spacing w:after="0"/>
            </w:pPr>
            <w:r>
              <w:rPr>
                <w:sz w:val="18"/>
                <w:szCs w:val="18"/>
              </w:rPr>
              <w:t xml:space="preserve">1</w:t>
            </w:r>
          </w:p>
        </w:tc>
        <w:tc>
          <w:tcPr>
            <w:tcW w:type="dxa" w:w="3700"/>
            <w:tcMar>
              <w:top w:type="dxa" w:w="70"/>
              <w:left w:type="dxa" w:w="110"/>
              <w:bottom w:type="dxa" w:w="70"/>
              <w:right w:type="dxa" w:w="110"/>
            </w:tcMar>
          </w:tcPr>
          <w:p>
            <w:pPr>
              <w:spacing w:after="0"/>
            </w:pPr>
            <w:r>
              <w:rPr>
                <w:sz w:val="18"/>
                <w:szCs w:val="18"/>
              </w:rPr>
              <w:t xml:space="preserve">Sign in as a branch or AP and open My clients</w:t>
            </w:r>
          </w:p>
        </w:tc>
        <w:tc>
          <w:tcPr>
            <w:tcW w:type="dxa" w:w="5160"/>
            <w:tcMar>
              <w:top w:type="dxa" w:w="70"/>
              <w:left w:type="dxa" w:w="110"/>
              <w:bottom w:type="dxa" w:w="70"/>
              <w:right w:type="dxa" w:w="110"/>
            </w:tcMar>
          </w:tcPr>
          <w:p>
            <w:pPr>
              <w:spacing w:after="0"/>
            </w:pPr>
            <w:r>
              <w:rPr>
                <w:sz w:val="18"/>
                <w:szCs w:val="18"/>
              </w:rPr>
              <w:t xml:space="preserve">Only that branch’s active clients appear — no one else’s, and no dormant or closed accounts</w:t>
            </w:r>
          </w:p>
        </w:tc>
      </w:tr>
      <w:tr>
        <w:tc>
          <w:tcPr>
            <w:tcW w:type="dxa" w:w="500"/>
            <w:tcMar>
              <w:top w:type="dxa" w:w="70"/>
              <w:left w:type="dxa" w:w="110"/>
              <w:bottom w:type="dxa" w:w="70"/>
              <w:right w:type="dxa" w:w="110"/>
            </w:tcMar>
          </w:tcPr>
          <w:p>
            <w:pPr>
              <w:spacing w:after="0"/>
            </w:pPr>
            <w:r>
              <w:rPr>
                <w:sz w:val="18"/>
                <w:szCs w:val="18"/>
              </w:rPr>
              <w:t xml:space="preserve">2</w:t>
            </w:r>
          </w:p>
        </w:tc>
        <w:tc>
          <w:tcPr>
            <w:tcW w:type="dxa" w:w="3700"/>
            <w:tcMar>
              <w:top w:type="dxa" w:w="70"/>
              <w:left w:type="dxa" w:w="110"/>
              <w:bottom w:type="dxa" w:w="70"/>
              <w:right w:type="dxa" w:w="110"/>
            </w:tcMar>
          </w:tcPr>
          <w:p>
            <w:pPr>
              <w:spacing w:after="0"/>
            </w:pPr>
            <w:r>
              <w:rPr>
                <w:sz w:val="18"/>
                <w:szCs w:val="18"/>
              </w:rPr>
              <w:t xml:space="preserve">Place a bid for one of those clients</w:t>
            </w:r>
          </w:p>
        </w:tc>
        <w:tc>
          <w:tcPr>
            <w:tcW w:type="dxa" w:w="5160"/>
            <w:tcMar>
              <w:top w:type="dxa" w:w="70"/>
              <w:left w:type="dxa" w:w="110"/>
              <w:bottom w:type="dxa" w:w="70"/>
              <w:right w:type="dxa" w:w="110"/>
            </w:tcMar>
          </w:tcPr>
          <w:p>
            <w:pPr>
              <w:spacing w:after="0"/>
            </w:pPr>
            <w:r>
              <w:rPr>
                <w:sz w:val="18"/>
                <w:szCs w:val="18"/>
              </w:rPr>
              <w:t xml:space="preserve">The client receives a code; the bid appears once the code is entered</w:t>
            </w:r>
          </w:p>
        </w:tc>
      </w:tr>
      <w:tr>
        <w:tc>
          <w:tcPr>
            <w:tcW w:type="dxa" w:w="500"/>
            <w:tcMar>
              <w:top w:type="dxa" w:w="70"/>
              <w:left w:type="dxa" w:w="110"/>
              <w:bottom w:type="dxa" w:w="70"/>
              <w:right w:type="dxa" w:w="110"/>
            </w:tcMar>
          </w:tcPr>
          <w:p>
            <w:pPr>
              <w:spacing w:after="0"/>
            </w:pPr>
            <w:r>
              <w:rPr>
                <w:sz w:val="18"/>
                <w:szCs w:val="18"/>
              </w:rPr>
              <w:t xml:space="preserve">3</w:t>
            </w:r>
          </w:p>
        </w:tc>
        <w:tc>
          <w:tcPr>
            <w:tcW w:type="dxa" w:w="3700"/>
            <w:tcMar>
              <w:top w:type="dxa" w:w="70"/>
              <w:left w:type="dxa" w:w="110"/>
              <w:bottom w:type="dxa" w:w="70"/>
              <w:right w:type="dxa" w:w="110"/>
            </w:tcMar>
          </w:tcPr>
          <w:p>
            <w:pPr>
              <w:spacing w:after="0"/>
            </w:pPr>
            <w:r>
              <w:rPr>
                <w:sz w:val="18"/>
                <w:szCs w:val="18"/>
              </w:rPr>
              <w:t xml:space="preserve">Have the back office place a bid for the same client</w:t>
            </w:r>
          </w:p>
        </w:tc>
        <w:tc>
          <w:tcPr>
            <w:tcW w:type="dxa" w:w="5160"/>
            <w:tcMar>
              <w:top w:type="dxa" w:w="70"/>
              <w:left w:type="dxa" w:w="110"/>
              <w:bottom w:type="dxa" w:w="70"/>
              <w:right w:type="dxa" w:w="110"/>
            </w:tcMar>
          </w:tcPr>
          <w:p>
            <w:pPr>
              <w:spacing w:after="0"/>
            </w:pPr>
            <w:r>
              <w:rPr>
                <w:sz w:val="18"/>
                <w:szCs w:val="18"/>
              </w:rPr>
              <w:t xml:space="preserve">The branch sees that bid too, marked as placed by the back office</w:t>
            </w:r>
          </w:p>
        </w:tc>
      </w:tr>
      <w:tr>
        <w:tc>
          <w:tcPr>
            <w:tcW w:type="dxa" w:w="500"/>
            <w:tcMar>
              <w:top w:type="dxa" w:w="70"/>
              <w:left w:type="dxa" w:w="110"/>
              <w:bottom w:type="dxa" w:w="70"/>
              <w:right w:type="dxa" w:w="110"/>
            </w:tcMar>
          </w:tcPr>
          <w:p>
            <w:pPr>
              <w:spacing w:after="0"/>
            </w:pPr>
            <w:r>
              <w:rPr>
                <w:sz w:val="18"/>
                <w:szCs w:val="18"/>
              </w:rPr>
              <w:t xml:space="preserve">4</w:t>
            </w:r>
          </w:p>
        </w:tc>
        <w:tc>
          <w:tcPr>
            <w:tcW w:type="dxa" w:w="3700"/>
            <w:tcMar>
              <w:top w:type="dxa" w:w="70"/>
              <w:left w:type="dxa" w:w="110"/>
              <w:bottom w:type="dxa" w:w="70"/>
              <w:right w:type="dxa" w:w="110"/>
            </w:tcMar>
          </w:tcPr>
          <w:p>
            <w:pPr>
              <w:spacing w:after="0"/>
            </w:pPr>
            <w:r>
              <w:rPr>
                <w:sz w:val="18"/>
                <w:szCs w:val="18"/>
              </w:rPr>
              <w:t xml:space="preserve">Place a retail bid just over ₹2,00,000</w:t>
            </w:r>
          </w:p>
        </w:tc>
        <w:tc>
          <w:tcPr>
            <w:tcW w:type="dxa" w:w="5160"/>
            <w:tcMar>
              <w:top w:type="dxa" w:w="70"/>
              <w:left w:type="dxa" w:w="110"/>
              <w:bottom w:type="dxa" w:w="70"/>
              <w:right w:type="dxa" w:w="110"/>
            </w:tcMar>
          </w:tcPr>
          <w:p>
            <w:pPr>
              <w:spacing w:after="0"/>
            </w:pPr>
            <w:r>
              <w:rPr>
                <w:sz w:val="18"/>
                <w:szCs w:val="18"/>
              </w:rPr>
              <w:t xml:space="preserve">Refused, naming the cap and the value of this bid</w:t>
            </w:r>
          </w:p>
        </w:tc>
      </w:tr>
      <w:tr>
        <w:tc>
          <w:tcPr>
            <w:tcW w:type="dxa" w:w="500"/>
            <w:tcMar>
              <w:top w:type="dxa" w:w="70"/>
              <w:left w:type="dxa" w:w="110"/>
              <w:bottom w:type="dxa" w:w="70"/>
              <w:right w:type="dxa" w:w="110"/>
            </w:tcMar>
          </w:tcPr>
          <w:p>
            <w:pPr>
              <w:spacing w:after="0"/>
            </w:pPr>
            <w:r>
              <w:rPr>
                <w:sz w:val="18"/>
                <w:szCs w:val="18"/>
              </w:rPr>
              <w:t xml:space="preserve">5</w:t>
            </w:r>
          </w:p>
        </w:tc>
        <w:tc>
          <w:tcPr>
            <w:tcW w:type="dxa" w:w="3700"/>
            <w:tcMar>
              <w:top w:type="dxa" w:w="70"/>
              <w:left w:type="dxa" w:w="110"/>
              <w:bottom w:type="dxa" w:w="70"/>
              <w:right w:type="dxa" w:w="110"/>
            </w:tcMar>
          </w:tcPr>
          <w:p>
            <w:pPr>
              <w:spacing w:after="0"/>
            </w:pPr>
            <w:r>
              <w:rPr>
                <w:sz w:val="18"/>
                <w:szCs w:val="18"/>
              </w:rPr>
              <w:t xml:space="preserve">Place a second bid on the same scrip for the same client</w:t>
            </w:r>
          </w:p>
        </w:tc>
        <w:tc>
          <w:tcPr>
            <w:tcW w:type="dxa" w:w="5160"/>
            <w:tcMar>
              <w:top w:type="dxa" w:w="70"/>
              <w:left w:type="dxa" w:w="110"/>
              <w:bottom w:type="dxa" w:w="70"/>
              <w:right w:type="dxa" w:w="110"/>
            </w:tcMar>
          </w:tcPr>
          <w:p>
            <w:pPr>
              <w:spacing w:after="0"/>
            </w:pPr>
            <w:r>
              <w:rPr>
                <w:sz w:val="18"/>
                <w:szCs w:val="18"/>
              </w:rPr>
              <w:t xml:space="preserve">Refused — one bid per scrip; modify the existing one instead</w:t>
            </w:r>
          </w:p>
        </w:tc>
      </w:tr>
      <w:tr>
        <w:tc>
          <w:tcPr>
            <w:tcW w:type="dxa" w:w="500"/>
            <w:tcMar>
              <w:top w:type="dxa" w:w="70"/>
              <w:left w:type="dxa" w:w="110"/>
              <w:bottom w:type="dxa" w:w="70"/>
              <w:right w:type="dxa" w:w="110"/>
            </w:tcMar>
          </w:tcPr>
          <w:p>
            <w:pPr>
              <w:spacing w:after="0"/>
            </w:pPr>
            <w:r>
              <w:rPr>
                <w:sz w:val="18"/>
                <w:szCs w:val="18"/>
              </w:rPr>
              <w:t xml:space="preserve">6</w:t>
            </w:r>
          </w:p>
        </w:tc>
        <w:tc>
          <w:tcPr>
            <w:tcW w:type="dxa" w:w="3700"/>
            <w:tcMar>
              <w:top w:type="dxa" w:w="70"/>
              <w:left w:type="dxa" w:w="110"/>
              <w:bottom w:type="dxa" w:w="70"/>
              <w:right w:type="dxa" w:w="110"/>
            </w:tcMar>
          </w:tcPr>
          <w:p>
            <w:pPr>
              <w:spacing w:after="0"/>
            </w:pPr>
            <w:r>
              <w:rPr>
                <w:sz w:val="18"/>
                <w:szCs w:val="18"/>
              </w:rPr>
              <w:t xml:space="preserve">Modify that bid without changing its value</w:t>
            </w:r>
          </w:p>
        </w:tc>
        <w:tc>
          <w:tcPr>
            <w:tcW w:type="dxa" w:w="5160"/>
            <w:tcMar>
              <w:top w:type="dxa" w:w="70"/>
              <w:left w:type="dxa" w:w="110"/>
              <w:bottom w:type="dxa" w:w="70"/>
              <w:right w:type="dxa" w:w="110"/>
            </w:tcMar>
          </w:tcPr>
          <w:p>
            <w:pPr>
              <w:spacing w:after="0"/>
            </w:pPr>
            <w:r>
              <w:rPr>
                <w:sz w:val="18"/>
                <w:szCs w:val="18"/>
              </w:rPr>
              <w:t xml:space="preserve">Accepted</w:t>
            </w:r>
          </w:p>
        </w:tc>
      </w:tr>
      <w:tr>
        <w:tc>
          <w:tcPr>
            <w:tcW w:type="dxa" w:w="500"/>
            <w:tcMar>
              <w:top w:type="dxa" w:w="70"/>
              <w:left w:type="dxa" w:w="110"/>
              <w:bottom w:type="dxa" w:w="70"/>
              <w:right w:type="dxa" w:w="110"/>
            </w:tcMar>
          </w:tcPr>
          <w:p>
            <w:pPr>
              <w:spacing w:after="0"/>
            </w:pPr>
            <w:r>
              <w:rPr>
                <w:sz w:val="18"/>
                <w:szCs w:val="18"/>
              </w:rPr>
              <w:t xml:space="preserve">7</w:t>
            </w:r>
          </w:p>
        </w:tc>
        <w:tc>
          <w:tcPr>
            <w:tcW w:type="dxa" w:w="3700"/>
            <w:tcMar>
              <w:top w:type="dxa" w:w="70"/>
              <w:left w:type="dxa" w:w="110"/>
              <w:bottom w:type="dxa" w:w="70"/>
              <w:right w:type="dxa" w:w="110"/>
            </w:tcMar>
          </w:tcPr>
          <w:p>
            <w:pPr>
              <w:spacing w:after="0"/>
            </w:pPr>
            <w:r>
              <w:rPr>
                <w:sz w:val="18"/>
                <w:szCs w:val="18"/>
              </w:rPr>
              <w:t xml:space="preserve">Try to bid after the daily cut-off</w:t>
            </w:r>
          </w:p>
        </w:tc>
        <w:tc>
          <w:tcPr>
            <w:tcW w:type="dxa" w:w="5160"/>
            <w:tcMar>
              <w:top w:type="dxa" w:w="70"/>
              <w:left w:type="dxa" w:w="110"/>
              <w:bottom w:type="dxa" w:w="70"/>
              <w:right w:type="dxa" w:w="110"/>
            </w:tcMar>
          </w:tcPr>
          <w:p>
            <w:pPr>
              <w:spacing w:after="0"/>
            </w:pPr>
            <w:r>
              <w:rPr>
                <w:sz w:val="18"/>
                <w:szCs w:val="18"/>
              </w:rPr>
              <w:t xml:space="preserve">Refused, and the issue card shows the desk as closed rather than offering a bid button</w:t>
            </w:r>
          </w:p>
        </w:tc>
      </w:tr>
      <w:tr>
        <w:tc>
          <w:tcPr>
            <w:tcW w:type="dxa" w:w="500"/>
            <w:tcMar>
              <w:top w:type="dxa" w:w="70"/>
              <w:left w:type="dxa" w:w="110"/>
              <w:bottom w:type="dxa" w:w="70"/>
              <w:right w:type="dxa" w:w="110"/>
            </w:tcMar>
          </w:tcPr>
          <w:p>
            <w:pPr>
              <w:spacing w:after="0"/>
            </w:pPr>
            <w:r>
              <w:rPr>
                <w:sz w:val="18"/>
                <w:szCs w:val="18"/>
              </w:rPr>
              <w:t xml:space="preserve">8</w:t>
            </w:r>
          </w:p>
        </w:tc>
        <w:tc>
          <w:tcPr>
            <w:tcW w:type="dxa" w:w="3700"/>
            <w:tcMar>
              <w:top w:type="dxa" w:w="70"/>
              <w:left w:type="dxa" w:w="110"/>
              <w:bottom w:type="dxa" w:w="70"/>
              <w:right w:type="dxa" w:w="110"/>
            </w:tcMar>
          </w:tcPr>
          <w:p>
            <w:pPr>
              <w:spacing w:after="0"/>
            </w:pPr>
            <w:r>
              <w:rPr>
                <w:sz w:val="18"/>
                <w:szCs w:val="18"/>
              </w:rPr>
              <w:t xml:space="preserve">Generate the NSE and BSE files for an issue on both exchanges</w:t>
            </w:r>
          </w:p>
        </w:tc>
        <w:tc>
          <w:tcPr>
            <w:tcW w:type="dxa" w:w="5160"/>
            <w:tcMar>
              <w:top w:type="dxa" w:w="70"/>
              <w:left w:type="dxa" w:w="110"/>
              <w:bottom w:type="dxa" w:w="70"/>
              <w:right w:type="dxa" w:w="110"/>
            </w:tcMar>
          </w:tcPr>
          <w:p>
            <w:pPr>
              <w:spacing w:after="0"/>
            </w:pPr>
            <w:r>
              <w:rPr>
                <w:sz w:val="18"/>
                <w:szCs w:val="18"/>
              </w:rPr>
              <w:t xml:space="preserve">Each bid appears in exactly one file</w:t>
            </w:r>
          </w:p>
        </w:tc>
      </w:tr>
    </w:tbl>
    <w:p>
      <w:pPr>
        <w:pStyle w:val="Heading1"/>
        <w:spacing w:after="140" w:before="300"/>
      </w:pPr>
      <w:r>
        <w:t xml:space="preserve">Still needed from Ashika</w:t>
      </w:r>
    </w:p>
    <w:p>
      <w:pPr>
        <w:pBdr>
          <w:left w:val="single" w:color="96610F" w:sz="18" w:space="10"/>
        </w:pBdr>
        <w:shd w:fill="FDF7EE" w:val="clear"/>
        <w:spacing w:after="200" w:before="60"/>
      </w:pPr>
      <w:r>
        <w:rPr>
          <w:b/>
          <w:bCs/>
          <w:color w:val="96610F"/>
          <w:sz w:val="20"/>
          <w:szCs w:val="20"/>
        </w:rPr>
        <w:t xml:space="preserve">These are outside the application and are what stand between UAT and a live OFS.</w:t>
      </w:r>
    </w:p>
    <w:tbl>
      <w:tblPr>
        <w:tblW w:type="dxa" w:w="9360"/>
        <w:tblBorders>
          <w:top w:val="single" w:color="D8E2EC" w:sz="2"/>
          <w:left w:val="single" w:color="D8E2EC" w:sz="2"/>
          <w:bottom w:val="single" w:color="D8E2EC" w:sz="2"/>
          <w:right w:val="single" w:color="D8E2EC" w:sz="2"/>
          <w:insideH w:val="single" w:color="E6EDF4" w:sz="2"/>
          <w:insideV w:val="single" w:color="E6EDF4" w:sz="2"/>
        </w:tblBorders>
      </w:tblPr>
      <w:tblGrid>
        <w:gridCol w:w="2900"/>
        <w:gridCol w:w="6460"/>
      </w:tblGrid>
      <w:tr>
        <w:trPr>
          <w:tblHeader/>
        </w:trPr>
        <w:tc>
          <w:tcPr>
            <w:tcW w:type="dxa" w:w="2900"/>
            <w:shd w:fill="EEF3F8" w:val="clear"/>
            <w:tcMar>
              <w:top w:type="dxa" w:w="70"/>
              <w:left w:type="dxa" w:w="110"/>
              <w:bottom w:type="dxa" w:w="70"/>
              <w:right w:type="dxa" w:w="110"/>
            </w:tcMar>
          </w:tcPr>
          <w:p>
            <w:pPr>
              <w:spacing w:after="0"/>
            </w:pPr>
            <w:r>
              <w:rPr>
                <w:b/>
                <w:bCs/>
                <w:color w:val="243F8E"/>
                <w:sz w:val="17"/>
                <w:szCs w:val="17"/>
              </w:rPr>
              <w:t xml:space="preserve">Item</w:t>
            </w:r>
          </w:p>
        </w:tc>
        <w:tc>
          <w:tcPr>
            <w:tcW w:type="dxa" w:w="6460"/>
            <w:shd w:fill="EEF3F8" w:val="clear"/>
            <w:tcMar>
              <w:top w:type="dxa" w:w="70"/>
              <w:left w:type="dxa" w:w="110"/>
              <w:bottom w:type="dxa" w:w="70"/>
              <w:right w:type="dxa" w:w="110"/>
            </w:tcMar>
          </w:tcPr>
          <w:p>
            <w:pPr>
              <w:spacing w:after="0"/>
            </w:pPr>
            <w:r>
              <w:rPr>
                <w:b/>
                <w:bCs/>
                <w:color w:val="243F8E"/>
                <w:sz w:val="17"/>
                <w:szCs w:val="17"/>
              </w:rPr>
              <w:t xml:space="preserve">Why it is needed</w:t>
            </w:r>
          </w:p>
        </w:tc>
      </w:tr>
      <w:tr>
        <w:tc>
          <w:tcPr>
            <w:tcW w:type="dxa" w:w="2900"/>
            <w:tcMar>
              <w:top w:type="dxa" w:w="70"/>
              <w:left w:type="dxa" w:w="110"/>
              <w:bottom w:type="dxa" w:w="70"/>
              <w:right w:type="dxa" w:w="110"/>
            </w:tcMar>
          </w:tcPr>
          <w:p>
            <w:pPr>
              <w:spacing w:after="0"/>
            </w:pPr>
            <w:r>
              <w:rPr>
                <w:sz w:val="18"/>
                <w:szCs w:val="18"/>
              </w:rPr>
              <w:t xml:space="preserve">NSE circular NSE/CMTR/72975</w:t>
            </w:r>
          </w:p>
        </w:tc>
        <w:tc>
          <w:tcPr>
            <w:tcW w:type="dxa" w:w="6460"/>
            <w:tcMar>
              <w:top w:type="dxa" w:w="70"/>
              <w:left w:type="dxa" w:w="110"/>
              <w:bottom w:type="dxa" w:w="70"/>
              <w:right w:type="dxa" w:w="110"/>
            </w:tcMar>
          </w:tcPr>
          <w:p>
            <w:pPr>
              <w:spacing w:after="0"/>
            </w:pPr>
            <w:r>
              <w:rPr>
                <w:sz w:val="18"/>
                <w:szCs w:val="18"/>
              </w:rPr>
              <w:t xml:space="preserve">To confirm the column order and whether the bid file carries a header row, before the first live upload</w:t>
            </w:r>
          </w:p>
        </w:tc>
      </w:tr>
      <w:tr>
        <w:tc>
          <w:tcPr>
            <w:tcW w:type="dxa" w:w="2900"/>
            <w:tcMar>
              <w:top w:type="dxa" w:w="70"/>
              <w:left w:type="dxa" w:w="110"/>
              <w:bottom w:type="dxa" w:w="70"/>
              <w:right w:type="dxa" w:w="110"/>
            </w:tcMar>
          </w:tcPr>
          <w:p>
            <w:pPr>
              <w:spacing w:after="0"/>
            </w:pPr>
            <w:r>
              <w:rPr>
                <w:sz w:val="18"/>
                <w:szCs w:val="18"/>
              </w:rPr>
              <w:t xml:space="preserve">The IP address NSE whitelists</w:t>
            </w:r>
          </w:p>
        </w:tc>
        <w:tc>
          <w:tcPr>
            <w:tcW w:type="dxa" w:w="6460"/>
            <w:tcMar>
              <w:top w:type="dxa" w:w="70"/>
              <w:left w:type="dxa" w:w="110"/>
              <w:bottom w:type="dxa" w:w="70"/>
              <w:right w:type="dxa" w:w="110"/>
            </w:tcMar>
          </w:tcPr>
          <w:p>
            <w:pPr>
              <w:spacing w:after="0"/>
            </w:pPr>
            <w:r>
              <w:rPr>
                <w:sz w:val="18"/>
                <w:szCs w:val="18"/>
              </w:rPr>
              <w:t xml:space="preserve">The e-OFS upload will be refused from any other address</w:t>
            </w:r>
          </w:p>
        </w:tc>
      </w:tr>
      <w:tr>
        <w:tc>
          <w:tcPr>
            <w:tcW w:type="dxa" w:w="2900"/>
            <w:tcMar>
              <w:top w:type="dxa" w:w="70"/>
              <w:left w:type="dxa" w:w="110"/>
              <w:bottom w:type="dxa" w:w="70"/>
              <w:right w:type="dxa" w:w="110"/>
            </w:tcMar>
          </w:tcPr>
          <w:p>
            <w:pPr>
              <w:spacing w:after="0"/>
            </w:pPr>
            <w:r>
              <w:rPr>
                <w:sz w:val="18"/>
                <w:szCs w:val="18"/>
              </w:rPr>
              <w:t xml:space="preserve">e-OFS / ENIT enablement</w:t>
            </w:r>
          </w:p>
        </w:tc>
        <w:tc>
          <w:tcPr>
            <w:tcW w:type="dxa" w:w="6460"/>
            <w:tcMar>
              <w:top w:type="dxa" w:w="70"/>
              <w:left w:type="dxa" w:w="110"/>
              <w:bottom w:type="dxa" w:w="70"/>
              <w:right w:type="dxa" w:w="110"/>
            </w:tcMar>
          </w:tcPr>
          <w:p>
            <w:pPr>
              <w:spacing w:after="0"/>
            </w:pPr>
            <w:r>
              <w:rPr>
                <w:sz w:val="18"/>
                <w:szCs w:val="18"/>
              </w:rPr>
              <w:t xml:space="preserve">The member has to be enabled for OFS bidding on the exchange side</w:t>
            </w:r>
          </w:p>
        </w:tc>
      </w:tr>
      <w:tr>
        <w:tc>
          <w:tcPr>
            <w:tcW w:type="dxa" w:w="2900"/>
            <w:tcMar>
              <w:top w:type="dxa" w:w="70"/>
              <w:left w:type="dxa" w:w="110"/>
              <w:bottom w:type="dxa" w:w="70"/>
              <w:right w:type="dxa" w:w="110"/>
            </w:tcMar>
          </w:tcPr>
          <w:p>
            <w:pPr>
              <w:spacing w:after="0"/>
            </w:pPr>
            <w:r>
              <w:rPr>
                <w:sz w:val="18"/>
                <w:szCs w:val="18"/>
              </w:rPr>
              <w:t xml:space="preserve">RMS margin API</w:t>
            </w:r>
          </w:p>
        </w:tc>
        <w:tc>
          <w:tcPr>
            <w:tcW w:type="dxa" w:w="6460"/>
            <w:tcMar>
              <w:top w:type="dxa" w:w="70"/>
              <w:left w:type="dxa" w:w="110"/>
              <w:bottom w:type="dxa" w:w="70"/>
              <w:right w:type="dxa" w:w="110"/>
            </w:tcMar>
          </w:tcPr>
          <w:p>
            <w:pPr>
              <w:spacing w:after="0"/>
            </w:pPr>
            <w:r>
              <w:rPr>
                <w:sz w:val="18"/>
                <w:szCs w:val="18"/>
              </w:rPr>
              <w:t xml:space="preserve">So client margins update automatically instead of being imported by the desk</w:t>
            </w:r>
          </w:p>
        </w:tc>
      </w:tr>
      <w:tr>
        <w:tc>
          <w:tcPr>
            <w:tcW w:type="dxa" w:w="2900"/>
            <w:tcMar>
              <w:top w:type="dxa" w:w="70"/>
              <w:left w:type="dxa" w:w="110"/>
              <w:bottom w:type="dxa" w:w="70"/>
              <w:right w:type="dxa" w:w="110"/>
            </w:tcMar>
          </w:tcPr>
          <w:p>
            <w:pPr>
              <w:spacing w:after="0"/>
            </w:pPr>
            <w:r>
              <w:rPr>
                <w:sz w:val="18"/>
                <w:szCs w:val="18"/>
              </w:rPr>
              <w:t xml:space="preserve">Go-live mailbox and SMS gateway</w:t>
            </w:r>
          </w:p>
        </w:tc>
        <w:tc>
          <w:tcPr>
            <w:tcW w:type="dxa" w:w="6460"/>
            <w:tcMar>
              <w:top w:type="dxa" w:w="70"/>
              <w:left w:type="dxa" w:w="110"/>
              <w:bottom w:type="dxa" w:w="70"/>
              <w:right w:type="dxa" w:w="110"/>
            </w:tcMar>
          </w:tcPr>
          <w:p>
            <w:pPr>
              <w:spacing w:after="0"/>
            </w:pPr>
            <w:r>
              <w:rPr>
                <w:sz w:val="18"/>
                <w:szCs w:val="18"/>
              </w:rPr>
              <w:t xml:space="preserve">Client codes and allotment advices currently go out from the UAT mailbox; there is no SMS gateway yet</w:t>
            </w:r>
          </w:p>
        </w:tc>
      </w:tr>
      <w:tr>
        <w:tc>
          <w:tcPr>
            <w:tcW w:type="dxa" w:w="2900"/>
            <w:tcMar>
              <w:top w:type="dxa" w:w="70"/>
              <w:left w:type="dxa" w:w="110"/>
              <w:bottom w:type="dxa" w:w="70"/>
              <w:right w:type="dxa" w:w="110"/>
            </w:tcMar>
          </w:tcPr>
          <w:p>
            <w:pPr>
              <w:spacing w:after="0"/>
            </w:pPr>
            <w:r>
              <w:rPr>
                <w:sz w:val="18"/>
                <w:szCs w:val="18"/>
              </w:rPr>
              <w:t xml:space="preserve">A scheduled job on the platform</w:t>
            </w:r>
          </w:p>
        </w:tc>
        <w:tc>
          <w:tcPr>
            <w:tcW w:type="dxa" w:w="6460"/>
            <w:tcMar>
              <w:top w:type="dxa" w:w="70"/>
              <w:left w:type="dxa" w:w="110"/>
              <w:bottom w:type="dxa" w:w="70"/>
              <w:right w:type="dxa" w:w="110"/>
            </w:tcMar>
          </w:tcPr>
          <w:p>
            <w:pPr>
              <w:spacing w:after="0"/>
            </w:pPr>
            <w:r>
              <w:rPr>
                <w:sz w:val="18"/>
                <w:szCs w:val="18"/>
              </w:rPr>
              <w:t xml:space="preserve">To zero margins at midnight IST — specification already shared with the Stage API team</w:t>
            </w:r>
          </w:p>
        </w:tc>
      </w:tr>
    </w:tbl>
    <w:p>
      <w:pPr>
        <w:pStyle w:val="Heading1"/>
        <w:spacing w:after="140" w:before="300"/>
      </w:pPr>
      <w:r>
        <w:t xml:space="preserve">What happens next</w:t>
      </w:r>
    </w:p>
    <w:p>
      <w:pPr>
        <w:spacing w:after="60" w:before="0"/>
      </w:pPr>
      <w:r>
        <w:rPr>
          <w:sz w:val="20"/>
          <w:szCs w:val="20"/>
        </w:rPr>
        <w:t xml:space="preserve">Please run through the tests above and send any observations back. We will fix on the same day where we can. Once UAT is signed off and the exchange-side items are in place, the module is ready for a live OFS.</w:t>
      </w:r>
    </w:p>
    <w:sectPr>
      <w:footerReference w:type="default" r:id="rId7"/>
      <w:pgSz w:w="11906" w:h="16838"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F9E"/>
        <w:sz w:val="16"/>
        <w:szCs w:val="16"/>
      </w:rPr>
      <w:t xml:space="preserve">Ashika OFS · page </w:t>
    </w:r>
    <w:r>
      <w:rPr>
        <w:color w:val="6B7F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43F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2026-09-12T17:51:18.760Z</dcterms:created>
  <dcterms:modified xsi:type="dcterms:W3CDTF">2026-09-12T17:51:18.760Z</dcterms:modified>
</cp:coreProperties>
</file>

<file path=docProps/custom.xml><?xml version="1.0" encoding="utf-8"?>
<Properties xmlns="http://schemas.openxmlformats.org/officeDocument/2006/custom-properties" xmlns:vt="http://schemas.openxmlformats.org/officeDocument/2006/docPropsVTypes"/>
</file>