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6"/>
          <w:szCs w:val="36"/>
        </w:rPr>
        <w:t xml:space="preserve">Ashika OFS — Offer for Sale bidding</w:t>
      </w:r>
    </w:p>
    <w:p>
      <w:pPr>
        <w:spacing w:after="40"/>
      </w:pPr>
      <w:r>
        <w:rPr>
          <w:rFonts w:ascii="Calibri" w:cs="Calibri" w:eastAsia="Calibri" w:hAnsi="Calibri"/>
          <w:color w:val="5B6672"/>
          <w:sz w:val="26"/>
          <w:szCs w:val="26"/>
        </w:rPr>
        <w:t xml:space="preserve">Go-live readiness review</w:t>
      </w:r>
    </w:p>
    <w:p>
      <w:pPr>
        <w:spacing w:after="280" w:before="0"/>
      </w:pPr>
      <w:r>
        <w:rPr>
          <w:rFonts w:ascii="Calibri" w:cs="Calibri" w:eastAsia="Calibri" w:hAnsi="Calibri"/>
          <w:color w:val="5B6672"/>
          <w:sz w:val="18"/>
          <w:szCs w:val="18"/>
        </w:rPr>
        <w:t xml:space="preserve">Prepared 13 September 2026 · target go-live Tuesday 15 September 2026</w:t>
      </w:r>
    </w:p>
    <w:p>
      <w:pPr>
        <w:pStyle w:val="Heading1"/>
        <w:spacing w:after="160" w:before="360"/>
      </w:pPr>
      <w:r>
        <w:rPr>
          <w:rFonts w:ascii="Calibri" w:cs="Calibri" w:eastAsia="Calibri" w:hAnsi="Calibri"/>
          <w:b/>
          <w:bCs/>
          <w:color w:val="1F4E79"/>
          <w:sz w:val="30"/>
          <w:szCs w:val="30"/>
        </w:rPr>
        <w:t xml:space="preserve">Where things stand</w:t>
      </w:r>
    </w:p>
    <w:p>
      <w:pPr>
        <w:spacing w:after="120" w:before="0"/>
      </w:pPr>
      <w:r>
        <w:rPr>
          <w:rFonts w:ascii="Calibri" w:cs="Calibri" w:eastAsia="Calibri" w:hAnsi="Calibri"/>
          <w:sz w:val="20"/>
          <w:szCs w:val="20"/>
        </w:rPr>
        <w:t xml:space="preserve">The application is functionally complete for the launch scope: the back office, the branch / Authorised Partner portal and the investor portal all place, change and withdraw bids against the same rules, and the NSE and BSE bid files are generated from the same book.</w:t>
      </w:r>
    </w:p>
    <w:p>
      <w:pPr>
        <w:spacing w:after="120" w:before="0"/>
      </w:pPr>
      <w:r>
        <w:rPr>
          <w:rFonts w:ascii="Calibri" w:cs="Calibri" w:eastAsia="Calibri" w:hAnsi="Calibri"/>
          <w:sz w:val="20"/>
          <w:szCs w:val="20"/>
        </w:rPr>
        <w:t xml:space="preserve">Two independent reviews were run against the code this week — one over the bid lifecycle and business rules, one over authentication, authorisation and personal data. Between them they found three blocking defects and a number of smaller ones. All three blockers, and every finding that could be fixed without a decision from Ashika, have been fixed and are covered by tests. 405 automated tests pass.</w:t>
      </w:r>
    </w:p>
    <w:p>
      <w:pPr>
        <w:spacing w:after="200" w:before="0"/>
      </w:pPr>
      <w:r>
        <w:rPr>
          <w:rFonts w:ascii="Calibri" w:cs="Calibri" w:eastAsia="Calibri" w:hAnsi="Calibri"/>
          <w:b/>
          <w:bCs/>
          <w:sz w:val="20"/>
          <w:szCs w:val="20"/>
        </w:rPr>
        <w:t xml:space="preserve">Five items remain open. </w:t>
      </w:r>
      <w:r>
        <w:rPr>
          <w:rFonts w:ascii="Calibri" w:cs="Calibri" w:eastAsia="Calibri" w:hAnsi="Calibri"/>
          <w:sz w:val="20"/>
          <w:szCs w:val="20"/>
        </w:rPr>
        <w:t xml:space="preserve">Each needs a decision from Ashika rather than more engineering, and they are listed in full on page 3 with a recommendation against each. None of them blocks a go-live on the 15th, but two of them should have a stated answer before the first live issue.</w:t>
      </w:r>
    </w:p>
    <w:p>
      <w:pPr>
        <w:pStyle w:val="Heading1"/>
        <w:spacing w:after="160" w:before="360"/>
      </w:pPr>
      <w:r>
        <w:rPr>
          <w:rFonts w:ascii="Calibri" w:cs="Calibri" w:eastAsia="Calibri" w:hAnsi="Calibri"/>
          <w:b/>
          <w:bCs/>
          <w:color w:val="1F4E79"/>
          <w:sz w:val="30"/>
          <w:szCs w:val="30"/>
        </w:rPr>
        <w:t xml:space="preserve">What changed this week</w:t>
      </w:r>
    </w:p>
    <w:p>
      <w:pPr>
        <w:pStyle w:val="Heading2"/>
        <w:spacing w:after="120" w:before="260"/>
      </w:pPr>
      <w:r>
        <w:rPr>
          <w:rFonts w:ascii="Calibri" w:cs="Calibri" w:eastAsia="Calibri" w:hAnsi="Calibri"/>
          <w:b/>
          <w:bCs/>
          <w:color w:val="1F4E79"/>
          <w:sz w:val="23"/>
          <w:szCs w:val="23"/>
        </w:rPr>
        <w:t xml:space="preserve">1. Every bid now carries an application reference that names the client</w:t>
      </w:r>
    </w:p>
    <w:p>
      <w:pPr>
        <w:spacing w:after="120" w:before="0"/>
      </w:pPr>
      <w:r>
        <w:rPr>
          <w:rFonts w:ascii="Calibri" w:cs="Calibri" w:eastAsia="Calibri" w:hAnsi="Calibri"/>
          <w:sz w:val="20"/>
          <w:szCs w:val="20"/>
        </w:rPr>
        <w:t xml:space="preserve">Format: OFS-S247683-260913-142509XQ7B — the module, the client code, the date and time in IST, and a random tail. The client code is in the reference because of how the number is used: a client reads it out on the phone, a branch quotes it in an email, the desk searches for it. Each of those starts by establishing whose bid it is. The previous format identified the day and nothing else.</w:t>
      </w:r>
    </w:p>
    <w:p>
      <w:pPr>
        <w:spacing w:after="120" w:before="0"/>
      </w:pPr>
      <w:r>
        <w:rPr>
          <w:rFonts w:ascii="Calibri" w:cs="Calibri" w:eastAsia="Calibri" w:hAnsi="Calibri"/>
          <w:sz w:val="20"/>
          <w:szCs w:val="20"/>
        </w:rPr>
        <w:t xml:space="preserve">The reference is built on IST rather than the server clock, which runs UTC — a bid placed after midnight IST previously carried the wrong date.</w:t>
      </w:r>
    </w:p>
    <w:p>
      <w:pPr>
        <w:pStyle w:val="Heading2"/>
        <w:spacing w:after="120" w:before="260"/>
      </w:pPr>
      <w:r>
        <w:rPr>
          <w:rFonts w:ascii="Calibri" w:cs="Calibri" w:eastAsia="Calibri" w:hAnsi="Calibri"/>
          <w:b/>
          <w:bCs/>
          <w:color w:val="1F4E79"/>
          <w:sz w:val="23"/>
          <w:szCs w:val="23"/>
        </w:rPr>
        <w:t xml:space="preserve">2. Order confirmation email</w:t>
      </w:r>
    </w:p>
    <w:p>
      <w:pPr>
        <w:spacing w:after="120" w:before="0"/>
      </w:pPr>
      <w:r>
        <w:rPr>
          <w:rFonts w:ascii="Calibri" w:cs="Calibri" w:eastAsia="Calibri" w:hAnsi="Calibri"/>
          <w:sz w:val="20"/>
          <w:szCs w:val="20"/>
        </w:rPr>
        <w:t xml:space="preserve">An HTML confirmation in the Ashika template, sent to the client at the address held in the client master and copied to whoever placed the bid — the back-office user, the branch or the Authorised Partner. It carries the application reference, the bid, the exchange and the time in IST. It carries no PAN, no mobile number and no margin figure.</w:t>
      </w:r>
    </w:p>
    <w:p>
      <w:pPr>
        <w:spacing w:after="120" w:before="0"/>
      </w:pPr>
      <w:r>
        <w:rPr>
          <w:rFonts w:ascii="Calibri" w:cs="Calibri" w:eastAsia="Calibri" w:hAnsi="Calibri"/>
          <w:b/>
          <w:bCs/>
          <w:sz w:val="20"/>
          <w:szCs w:val="20"/>
        </w:rPr>
        <w:t xml:space="preserve">It is OFF by default</w:t>
      </w:r>
      <w:r>
        <w:rPr>
          <w:rFonts w:ascii="Calibri" w:cs="Calibri" w:eastAsia="Calibri" w:hAnsi="Calibri"/>
          <w:sz w:val="20"/>
          <w:szCs w:val="20"/>
        </w:rPr>
        <w:t xml:space="preserve">, and the screen asks the desk to confirm before turning it on. This database holds live investor addresses, so a UAT round that starts mailing them is not a mistake that can be taken back. Placed, changed and withdrawn each read differently. Sending never blocks or fails a bid: the bid is already committed by the time the mail is attempted.</w:t>
      </w:r>
    </w:p>
    <w:p>
      <w:pPr>
        <w:pStyle w:val="Heading2"/>
        <w:spacing w:after="120" w:before="260"/>
      </w:pPr>
      <w:r>
        <w:rPr>
          <w:rFonts w:ascii="Calibri" w:cs="Calibri" w:eastAsia="Calibri" w:hAnsi="Calibri"/>
          <w:b/>
          <w:bCs/>
          <w:color w:val="1F4E79"/>
          <w:sz w:val="23"/>
          <w:szCs w:val="23"/>
        </w:rPr>
        <w:t xml:space="preserve">3. "Exchanges we are live on" is now a setting</w:t>
      </w:r>
    </w:p>
    <w:p>
      <w:pPr>
        <w:spacing w:after="120" w:before="0"/>
      </w:pPr>
      <w:r>
        <w:rPr>
          <w:rFonts w:ascii="Calibri" w:cs="Calibri" w:eastAsia="Calibri" w:hAnsi="Calibri"/>
          <w:sz w:val="20"/>
          <w:szCs w:val="20"/>
        </w:rPr>
        <w:t xml:space="preserve">NSE e-OFS and the BSE OFS module are separate enablements and either can be pending. The desk sets NSE, BSE or both in Settings, and everything follows:</w:t>
      </w:r>
    </w:p>
    <w:p>
      <w:pPr>
        <w:pStyle w:val="ListParagraph"/>
        <w:numPr>
          <w:ilvl w:val="0"/>
          <w:numId w:val="1"/>
        </w:numPr>
        <w:spacing w:after="80"/>
      </w:pPr>
      <w:r>
        <w:rPr>
          <w:rFonts w:ascii="Calibri" w:cs="Calibri" w:eastAsia="Calibri" w:hAnsi="Calibri"/>
          <w:sz w:val="20"/>
          <w:szCs w:val="20"/>
        </w:rPr>
        <w:t xml:space="preserve">An offer listed on both exchanges stays biddable and goes to the enabled one, with no dropdown left to get wrong.</w:t>
      </w:r>
    </w:p>
    <w:p>
      <w:pPr>
        <w:pStyle w:val="ListParagraph"/>
        <w:numPr>
          <w:ilvl w:val="0"/>
          <w:numId w:val="1"/>
        </w:numPr>
        <w:spacing w:after="80"/>
      </w:pPr>
      <w:r>
        <w:rPr>
          <w:rFonts w:ascii="Calibri" w:cs="Calibri" w:eastAsia="Calibri" w:hAnsi="Calibri"/>
          <w:sz w:val="20"/>
          <w:szCs w:val="20"/>
        </w:rPr>
        <w:t xml:space="preserve">An offer listed only on the other exchange stops accepting bids on all three logins and says why in plain words.</w:t>
      </w:r>
    </w:p>
    <w:p>
      <w:pPr>
        <w:pStyle w:val="ListParagraph"/>
        <w:numPr>
          <w:ilvl w:val="0"/>
          <w:numId w:val="1"/>
        </w:numPr>
        <w:spacing w:after="80"/>
      </w:pPr>
      <w:r>
        <w:rPr>
          <w:rFonts w:ascii="Calibri" w:cs="Calibri" w:eastAsia="Calibri" w:hAnsi="Calibri"/>
          <w:sz w:val="20"/>
          <w:szCs w:val="20"/>
        </w:rPr>
        <w:t xml:space="preserve">The exchange dropdown shows only what is enabled.</w:t>
      </w:r>
    </w:p>
    <w:p>
      <w:pPr>
        <w:spacing w:after="160" w:before="0"/>
      </w:pPr>
      <w:r>
        <w:rPr>
          <w:rFonts w:ascii="Calibri" w:cs="Calibri" w:eastAsia="Calibri" w:hAnsi="Calibri"/>
          <w:sz w:val="20"/>
          <w:szCs w:val="20"/>
        </w:rPr>
        <w:t xml:space="preserve">The default is both, and an unreadable value means both — a setting nobody has touched must never be the thing that silently stops trading. The rule is enforced on the server, not only on the form.</w:t>
      </w:r>
    </w:p>
    <w:p>
      <w:pPr>
        <w:pStyle w:val="Heading2"/>
        <w:spacing w:after="120" w:before="260"/>
      </w:pPr>
      <w:r>
        <w:rPr>
          <w:rFonts w:ascii="Calibri" w:cs="Calibri" w:eastAsia="Calibri" w:hAnsi="Calibri"/>
          <w:b/>
          <w:bCs/>
          <w:color w:val="1F4E79"/>
          <w:sz w:val="23"/>
          <w:szCs w:val="23"/>
        </w:rPr>
        <w:t xml:space="preserve">4. What a successful bid now says</w:t>
      </w:r>
    </w:p>
    <w:p>
      <w:pPr>
        <w:spacing w:after="120" w:before="0"/>
      </w:pPr>
      <w:r>
        <w:rPr>
          <w:rFonts w:ascii="Calibri" w:cs="Calibri" w:eastAsia="Calibri" w:hAnsi="Calibri"/>
          <w:sz w:val="20"/>
          <w:szCs w:val="20"/>
        </w:rPr>
        <w:t xml:space="preserve">Every accepted bid, on all three logins and in the confirmation email, states that the bid is recorded with the OFS desk and is subject to the margin available at the time it is submitted to the exchange, and to acceptance by the exchange. On the desk this is a banner that stays on screen rather than a message that fades, because the desk reads it back to the client on the phone.</w:t>
      </w:r>
    </w:p>
    <w:p>
      <w:pPr>
        <w:pStyle w:val="Heading1"/>
        <w:spacing w:after="160" w:before="360"/>
      </w:pPr>
      <w:r>
        <w:rPr>
          <w:rFonts w:ascii="Calibri" w:cs="Calibri" w:eastAsia="Calibri" w:hAnsi="Calibri"/>
          <w:b/>
          <w:bCs/>
          <w:color w:val="1F4E79"/>
          <w:sz w:val="30"/>
          <w:szCs w:val="30"/>
        </w:rPr>
        <w:t xml:space="preserve">Blocking defects found and fixed</w:t>
      </w:r>
    </w:p>
    <w:p>
      <w:pPr>
        <w:spacing w:after="140" w:before="0"/>
      </w:pPr>
      <w:r>
        <w:rPr>
          <w:rFonts w:ascii="Calibri" w:cs="Calibri" w:eastAsia="Calibri" w:hAnsi="Calibri"/>
          <w:sz w:val="20"/>
          <w:szCs w:val="20"/>
        </w:rPr>
        <w:t xml:space="preserve">These were found by review, not by testing, and none of them would have shown up in a normal UAT round — they need two people acting at the same moment, or a field left blank.</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2600"/>
        <w:gridCol w:w="4100"/>
        <w:gridCol w:w="2660"/>
      </w:tblGrid>
      <w:tr>
        <w:trPr>
          <w:tblHeader/>
        </w:trPr>
        <w:tc>
          <w:tcPr>
            <w:tcW w:type="dxa" w:w="2600"/>
            <w:shd w:fill="EEF2F7" w:val="clear"/>
            <w:tcMar>
              <w:top w:type="dxa" w:w="70"/>
              <w:left w:type="dxa" w:w="110"/>
              <w:bottom w:type="dxa" w:w="70"/>
              <w:right w:type="dxa" w:w="110"/>
            </w:tcMar>
          </w:tcPr>
          <w:p>
            <w:pPr>
              <w:spacing w:after="0"/>
            </w:pPr>
            <w:r>
              <w:rPr>
                <w:rFonts w:ascii="Calibri" w:cs="Calibri" w:eastAsia="Calibri" w:hAnsi="Calibri"/>
                <w:b/>
                <w:bCs/>
                <w:sz w:val="19"/>
                <w:szCs w:val="19"/>
              </w:rPr>
              <w:t xml:space="preserve">Defect</w:t>
            </w:r>
          </w:p>
        </w:tc>
        <w:tc>
          <w:tcPr>
            <w:tcW w:type="dxa" w:w="4100"/>
            <w:shd w:fill="EEF2F7" w:val="clear"/>
            <w:tcMar>
              <w:top w:type="dxa" w:w="70"/>
              <w:left w:type="dxa" w:w="110"/>
              <w:bottom w:type="dxa" w:w="70"/>
              <w:right w:type="dxa" w:w="110"/>
            </w:tcMar>
          </w:tcPr>
          <w:p>
            <w:pPr>
              <w:spacing w:after="0"/>
            </w:pPr>
            <w:r>
              <w:rPr>
                <w:rFonts w:ascii="Calibri" w:cs="Calibri" w:eastAsia="Calibri" w:hAnsi="Calibri"/>
                <w:b/>
                <w:bCs/>
                <w:sz w:val="19"/>
                <w:szCs w:val="19"/>
              </w:rPr>
              <w:t xml:space="preserve">What would have happened</w:t>
            </w:r>
          </w:p>
        </w:tc>
        <w:tc>
          <w:tcPr>
            <w:tcW w:type="dxa" w:w="2660"/>
            <w:shd w:fill="EEF2F7" w:val="clear"/>
            <w:tcMar>
              <w:top w:type="dxa" w:w="70"/>
              <w:left w:type="dxa" w:w="110"/>
              <w:bottom w:type="dxa" w:w="70"/>
              <w:right w:type="dxa" w:w="110"/>
            </w:tcMar>
          </w:tcPr>
          <w:p>
            <w:pPr>
              <w:spacing w:after="0"/>
            </w:pPr>
            <w:r>
              <w:rPr>
                <w:rFonts w:ascii="Calibri" w:cs="Calibri" w:eastAsia="Calibri" w:hAnsi="Calibri"/>
                <w:b/>
                <w:bCs/>
                <w:sz w:val="19"/>
                <w:szCs w:val="19"/>
              </w:rPr>
              <w:t xml:space="preserve">Status</w:t>
            </w:r>
          </w:p>
        </w:tc>
      </w:tr>
      <w:tr>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Two bids could share the same free margin</w:t>
            </w:r>
          </w:p>
        </w:tc>
        <w:tc>
          <w:tcPr>
            <w:tcW w:type="dxa" w:w="4100"/>
            <w:tcMar>
              <w:top w:type="dxa" w:w="70"/>
              <w:left w:type="dxa" w:w="110"/>
              <w:bottom w:type="dxa" w:w="70"/>
              <w:right w:type="dxa" w:w="110"/>
            </w:tcMar>
          </w:tcPr>
          <w:p>
            <w:pPr>
              <w:spacing w:after="0"/>
            </w:pPr>
            <w:r>
              <w:rPr>
                <w:rFonts w:ascii="Calibri" w:cs="Calibri" w:eastAsia="Calibri" w:hAnsi="Calibri"/>
                <w:sz w:val="19"/>
                <w:szCs w:val="19"/>
              </w:rPr>
              <w:t xml:space="preserve">A client with 3 lakh of margin places two bids on different issues seconds apart. Both are checked against an unused margin, both pass, both go into the exchange file. 4 lakh of bids against 3 lakh of margin.</w:t>
            </w:r>
          </w:p>
        </w:tc>
        <w:tc>
          <w:tcPr>
            <w:tcW w:type="dxa" w:w="2660"/>
            <w:tcMar>
              <w:top w:type="dxa" w:w="70"/>
              <w:left w:type="dxa" w:w="110"/>
              <w:bottom w:type="dxa" w:w="70"/>
              <w:right w:type="dxa" w:w="110"/>
            </w:tcMar>
          </w:tcPr>
          <w:p>
            <w:pPr>
              <w:spacing w:after="0"/>
            </w:pPr>
            <w:r>
              <w:rPr>
                <w:rFonts w:ascii="Calibri" w:cs="Calibri" w:eastAsia="Calibri" w:hAnsi="Calibri"/>
                <w:color w:val="1B6B4A"/>
                <w:sz w:val="19"/>
                <w:szCs w:val="19"/>
              </w:rPr>
              <w:t xml:space="preserve">Fixed — the check is now serialised per client and re-read inside the lock</w:t>
            </w:r>
          </w:p>
        </w:tc>
      </w:tr>
      <w:tr>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A modification could revive a withdrawn bid</w:t>
            </w:r>
          </w:p>
        </w:tc>
        <w:tc>
          <w:tcPr>
            <w:tcW w:type="dxa" w:w="4100"/>
            <w:tcMar>
              <w:top w:type="dxa" w:w="70"/>
              <w:left w:type="dxa" w:w="110"/>
              <w:bottom w:type="dxa" w:w="70"/>
              <w:right w:type="dxa" w:w="110"/>
            </w:tcMar>
          </w:tcPr>
          <w:p>
            <w:pPr>
              <w:spacing w:after="0"/>
            </w:pPr>
            <w:r>
              <w:rPr>
                <w:rFonts w:ascii="Calibri" w:cs="Calibri" w:eastAsia="Calibri" w:hAnsi="Calibri"/>
                <w:sz w:val="19"/>
                <w:szCs w:val="19"/>
              </w:rPr>
              <w:t xml:space="preserve">A client withdraws at 15:09 while the desk has a change in flight for the same bid. The withdrawal commits; the change puts the bid back and it goes into the 15:15 file. The client is allotted a bid they withdrew.</w:t>
            </w:r>
          </w:p>
        </w:tc>
        <w:tc>
          <w:tcPr>
            <w:tcW w:type="dxa" w:w="2660"/>
            <w:tcMar>
              <w:top w:type="dxa" w:w="70"/>
              <w:left w:type="dxa" w:w="110"/>
              <w:bottom w:type="dxa" w:w="70"/>
              <w:right w:type="dxa" w:w="110"/>
            </w:tcMar>
          </w:tcPr>
          <w:p>
            <w:pPr>
              <w:spacing w:after="0"/>
            </w:pPr>
            <w:r>
              <w:rPr>
                <w:rFonts w:ascii="Calibri" w:cs="Calibri" w:eastAsia="Calibri" w:hAnsi="Calibri"/>
                <w:color w:val="1B6B4A"/>
                <w:sz w:val="19"/>
                <w:szCs w:val="19"/>
              </w:rPr>
              <w:t xml:space="preserve">Fixed — a change that lost the race is refused and says so</w:t>
            </w:r>
          </w:p>
        </w:tc>
      </w:tr>
      <w:tr>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The client confirmation code was not tied to the amount</w:t>
            </w:r>
          </w:p>
        </w:tc>
        <w:tc>
          <w:tcPr>
            <w:tcW w:type="dxa" w:w="4100"/>
            <w:tcMar>
              <w:top w:type="dxa" w:w="70"/>
              <w:left w:type="dxa" w:w="110"/>
              <w:bottom w:type="dxa" w:w="70"/>
              <w:right w:type="dxa" w:w="110"/>
            </w:tcMar>
          </w:tcPr>
          <w:p>
            <w:pPr>
              <w:spacing w:after="0"/>
            </w:pPr>
            <w:r>
              <w:rPr>
                <w:rFonts w:ascii="Calibri" w:cs="Calibri" w:eastAsia="Calibri" w:hAnsi="Calibri"/>
                <w:sz w:val="19"/>
                <w:szCs w:val="19"/>
              </w:rPr>
              <w:t xml:space="preserve">A code approved by the client for 500 shares could be spent on 20,000 for the same client on the same issue, and the audit trail would then record that the client had agreed to it.</w:t>
            </w:r>
          </w:p>
        </w:tc>
        <w:tc>
          <w:tcPr>
            <w:tcW w:type="dxa" w:w="2660"/>
            <w:tcMar>
              <w:top w:type="dxa" w:w="70"/>
              <w:left w:type="dxa" w:w="110"/>
              <w:bottom w:type="dxa" w:w="70"/>
              <w:right w:type="dxa" w:w="110"/>
            </w:tcMar>
          </w:tcPr>
          <w:p>
            <w:pPr>
              <w:spacing w:after="0"/>
            </w:pPr>
            <w:r>
              <w:rPr>
                <w:rFonts w:ascii="Calibri" w:cs="Calibri" w:eastAsia="Calibri" w:hAnsi="Calibri"/>
                <w:color w:val="1B6B4A"/>
                <w:sz w:val="19"/>
                <w:szCs w:val="19"/>
              </w:rPr>
              <w:t xml:space="preserve">Fixed — the code is pinned to the bid the client was shown</w:t>
            </w:r>
          </w:p>
        </w:tc>
      </w:tr>
      <w:tr>
        <w:tc>
          <w:tcPr>
            <w:tcW w:type="dxa" w:w="2600"/>
            <w:tcMar>
              <w:top w:type="dxa" w:w="70"/>
              <w:left w:type="dxa" w:w="110"/>
              <w:bottom w:type="dxa" w:w="70"/>
              <w:right w:type="dxa" w:w="110"/>
            </w:tcMar>
          </w:tcPr>
          <w:p>
            <w:pPr>
              <w:spacing w:after="0"/>
            </w:pPr>
            <w:r>
              <w:rPr>
                <w:rFonts w:ascii="Calibri" w:cs="Calibri" w:eastAsia="Calibri" w:hAnsi="Calibri"/>
                <w:sz w:val="19"/>
                <w:szCs w:val="19"/>
              </w:rPr>
              <w:t xml:space="preserve">Every AP-placed bid returned an error</w:t>
            </w:r>
          </w:p>
        </w:tc>
        <w:tc>
          <w:tcPr>
            <w:tcW w:type="dxa" w:w="4100"/>
            <w:tcMar>
              <w:top w:type="dxa" w:w="70"/>
              <w:left w:type="dxa" w:w="110"/>
              <w:bottom w:type="dxa" w:w="70"/>
              <w:right w:type="dxa" w:w="110"/>
            </w:tcMar>
          </w:tcPr>
          <w:p>
            <w:pPr>
              <w:spacing w:after="0"/>
            </w:pPr>
            <w:r>
              <w:rPr>
                <w:rFonts w:ascii="Calibri" w:cs="Calibri" w:eastAsia="Calibri" w:hAnsi="Calibri"/>
                <w:sz w:val="19"/>
                <w:szCs w:val="19"/>
              </w:rPr>
              <w:t xml:space="preserve">The bid was written and went Live, then the request failed. The AP was told it had failed, no audit record was written, and the retry came back "duplicate bid" against a bid they were told did not exist.</w:t>
            </w:r>
          </w:p>
        </w:tc>
        <w:tc>
          <w:tcPr>
            <w:tcW w:type="dxa" w:w="2660"/>
            <w:tcMar>
              <w:top w:type="dxa" w:w="70"/>
              <w:left w:type="dxa" w:w="110"/>
              <w:bottom w:type="dxa" w:w="70"/>
              <w:right w:type="dxa" w:w="110"/>
            </w:tcMar>
          </w:tcPr>
          <w:p>
            <w:pPr>
              <w:spacing w:after="0"/>
            </w:pPr>
            <w:r>
              <w:rPr>
                <w:rFonts w:ascii="Calibri" w:cs="Calibri" w:eastAsia="Calibri" w:hAnsi="Calibri"/>
                <w:color w:val="1B6B4A"/>
                <w:sz w:val="19"/>
                <w:szCs w:val="19"/>
              </w:rPr>
              <w:t xml:space="preserve">Fixed — this one was live and would have shown up on day one</w:t>
            </w:r>
          </w:p>
        </w:tc>
      </w:tr>
    </w:tbl>
    <w:p>
      <w:pPr>
        <w:spacing w:after="12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Also fixed in the same pass:</w:t>
      </w:r>
    </w:p>
    <w:p>
      <w:pPr>
        <w:pStyle w:val="ListParagraph"/>
        <w:numPr>
          <w:ilvl w:val="0"/>
          <w:numId w:val="1"/>
        </w:numPr>
        <w:spacing w:after="80"/>
      </w:pPr>
      <w:r>
        <w:rPr>
          <w:rFonts w:ascii="Calibri" w:cs="Calibri" w:eastAsia="Calibri" w:hAnsi="Calibri"/>
          <w:sz w:val="20"/>
          <w:szCs w:val="20"/>
        </w:rPr>
        <w:t xml:space="preserve">A blank or zero retail cap or HNI minimum switched the check off entirely and silently. These are SEBI limits — a value that cannot be read now falls back to the regulator's figure rather than to "no limit".</w:t>
      </w:r>
    </w:p>
    <w:p>
      <w:pPr>
        <w:pStyle w:val="ListParagraph"/>
        <w:numPr>
          <w:ilvl w:val="0"/>
          <w:numId w:val="1"/>
        </w:numPr>
        <w:spacing w:after="80"/>
      </w:pPr>
      <w:r>
        <w:rPr>
          <w:rFonts w:ascii="Calibri" w:cs="Calibri" w:eastAsia="Calibri" w:hAnsi="Calibri"/>
          <w:sz w:val="20"/>
          <w:szCs w:val="20"/>
        </w:rPr>
        <w:t xml:space="preserve">The tick-size check rounded before comparing, so a price half a paisa off a valid tick was accepted, stored unrounded, and sent to the exchange as a different number than the client entered.</w:t>
      </w:r>
    </w:p>
    <w:p>
      <w:pPr>
        <w:pStyle w:val="ListParagraph"/>
        <w:numPr>
          <w:ilvl w:val="0"/>
          <w:numId w:val="1"/>
        </w:numPr>
        <w:spacing w:after="80"/>
      </w:pPr>
      <w:r>
        <w:rPr>
          <w:rFonts w:ascii="Calibri" w:cs="Calibri" w:eastAsia="Calibri" w:hAnsi="Calibri"/>
          <w:sz w:val="20"/>
          <w:szCs w:val="20"/>
        </w:rPr>
        <w:t xml:space="preserve">A withdrawal was checked against the desk cut-off but not against the category's own window, leaving a gap in which a withdrawal was accepted here and could never reach the exchange.</w:t>
      </w:r>
    </w:p>
    <w:p>
      <w:pPr>
        <w:pStyle w:val="ListParagraph"/>
        <w:numPr>
          <w:ilvl w:val="0"/>
          <w:numId w:val="1"/>
        </w:numPr>
        <w:spacing w:after="80"/>
      </w:pPr>
      <w:r>
        <w:rPr>
          <w:rFonts w:ascii="Calibri" w:cs="Calibri" w:eastAsia="Calibri" w:hAnsi="Calibri"/>
          <w:sz w:val="20"/>
          <w:szCs w:val="20"/>
        </w:rPr>
        <w:t xml:space="preserve">The desk login confirmed which email addresses were real staff accounts before asking for the password.</w:t>
      </w:r>
    </w:p>
    <w:p>
      <w:pPr>
        <w:pStyle w:val="ListParagraph"/>
        <w:numPr>
          <w:ilvl w:val="0"/>
          <w:numId w:val="1"/>
        </w:numPr>
        <w:spacing w:after="80"/>
      </w:pPr>
      <w:r>
        <w:rPr>
          <w:rFonts w:ascii="Calibri" w:cs="Calibri" w:eastAsia="Calibri" w:hAnsi="Calibri"/>
          <w:sz w:val="20"/>
          <w:szCs w:val="20"/>
        </w:rPr>
        <w:t xml:space="preserve">The investor login confirmed which client codes, mobiles and email addresses belong to real accounts, to anyone, with no sign-in. It now gives the same answer either way; the desk can change this in Settings.</w:t>
      </w:r>
    </w:p>
    <w:p>
      <w:pPr>
        <w:pStyle w:val="ListParagraph"/>
        <w:numPr>
          <w:ilvl w:val="0"/>
          <w:numId w:val="1"/>
        </w:numPr>
        <w:spacing w:after="80"/>
      </w:pPr>
      <w:r>
        <w:rPr>
          <w:rFonts w:ascii="Calibri" w:cs="Calibri" w:eastAsia="Calibri" w:hAnsi="Calibri"/>
          <w:sz w:val="20"/>
          <w:szCs w:val="20"/>
        </w:rPr>
        <w:t xml:space="preserve">The margin screen sent PAN, mobile and email unmasked — the only desk list that did not mask.</w:t>
      </w:r>
    </w:p>
    <w:p>
      <w:pPr>
        <w:pStyle w:val="ListParagraph"/>
        <w:numPr>
          <w:ilvl w:val="0"/>
          <w:numId w:val="1"/>
        </w:numPr>
        <w:spacing w:after="80"/>
      </w:pPr>
      <w:r>
        <w:rPr>
          <w:rFonts w:ascii="Calibri" w:cs="Calibri" w:eastAsia="Calibri" w:hAnsi="Calibri"/>
          <w:sz w:val="20"/>
          <w:szCs w:val="20"/>
        </w:rPr>
        <w:t xml:space="preserve">A margin record could be set to zero but never removed; the removal always failed and rolled back.</w:t>
      </w:r>
    </w:p>
    <w:p>
      <w:pPr>
        <w:pStyle w:val="Heading1"/>
        <w:spacing w:after="160" w:before="360"/>
      </w:pPr>
      <w:r>
        <w:rPr>
          <w:rFonts w:ascii="Calibri" w:cs="Calibri" w:eastAsia="Calibri" w:hAnsi="Calibri"/>
          <w:b/>
          <w:bCs/>
          <w:color w:val="1F4E79"/>
          <w:sz w:val="30"/>
          <w:szCs w:val="30"/>
        </w:rPr>
        <w:t xml:space="preserve">Open items — Ashika to decide</w:t>
      </w:r>
    </w:p>
    <w:p>
      <w:pPr>
        <w:spacing w:after="140" w:before="0"/>
      </w:pPr>
      <w:r>
        <w:rPr>
          <w:rFonts w:ascii="Calibri" w:cs="Calibri" w:eastAsia="Calibri" w:hAnsi="Calibri"/>
          <w:sz w:val="20"/>
          <w:szCs w:val="20"/>
        </w:rPr>
        <w:t xml:space="preserve">None of these blocks the 15th. The first two should have a stated answer before the first live issue.</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2700"/>
        <w:gridCol w:w="4300"/>
        <w:gridCol w:w="2360"/>
      </w:tblGrid>
      <w:tr>
        <w:trPr>
          <w:tblHeader/>
        </w:trPr>
        <w:tc>
          <w:tcPr>
            <w:tcW w:type="dxa" w:w="2700"/>
            <w:shd w:fill="EEF2F7" w:val="clear"/>
            <w:tcMar>
              <w:top w:type="dxa" w:w="70"/>
              <w:left w:type="dxa" w:w="110"/>
              <w:bottom w:type="dxa" w:w="70"/>
              <w:right w:type="dxa" w:w="110"/>
            </w:tcMar>
          </w:tcPr>
          <w:p>
            <w:pPr>
              <w:spacing w:after="0"/>
            </w:pPr>
            <w:r>
              <w:rPr>
                <w:rFonts w:ascii="Calibri" w:cs="Calibri" w:eastAsia="Calibri" w:hAnsi="Calibri"/>
                <w:b/>
                <w:bCs/>
                <w:sz w:val="19"/>
                <w:szCs w:val="19"/>
              </w:rPr>
              <w:t xml:space="preserve">Item</w:t>
            </w:r>
          </w:p>
        </w:tc>
        <w:tc>
          <w:tcPr>
            <w:tcW w:type="dxa" w:w="4300"/>
            <w:shd w:fill="EEF2F7" w:val="clear"/>
            <w:tcMar>
              <w:top w:type="dxa" w:w="70"/>
              <w:left w:type="dxa" w:w="110"/>
              <w:bottom w:type="dxa" w:w="70"/>
              <w:right w:type="dxa" w:w="110"/>
            </w:tcMar>
          </w:tcPr>
          <w:p>
            <w:pPr>
              <w:spacing w:after="0"/>
            </w:pPr>
            <w:r>
              <w:rPr>
                <w:rFonts w:ascii="Calibri" w:cs="Calibri" w:eastAsia="Calibri" w:hAnsi="Calibri"/>
                <w:b/>
                <w:bCs/>
                <w:sz w:val="19"/>
                <w:szCs w:val="19"/>
              </w:rPr>
              <w:t xml:space="preserve">The situation</w:t>
            </w:r>
          </w:p>
        </w:tc>
        <w:tc>
          <w:tcPr>
            <w:tcW w:type="dxa" w:w="2360"/>
            <w:shd w:fill="EEF2F7" w:val="clear"/>
            <w:tcMar>
              <w:top w:type="dxa" w:w="70"/>
              <w:left w:type="dxa" w:w="110"/>
              <w:bottom w:type="dxa" w:w="70"/>
              <w:right w:type="dxa" w:w="110"/>
            </w:tcMar>
          </w:tcPr>
          <w:p>
            <w:pPr>
              <w:spacing w:after="0"/>
            </w:pPr>
            <w:r>
              <w:rPr>
                <w:rFonts w:ascii="Calibri" w:cs="Calibri" w:eastAsia="Calibri" w:hAnsi="Calibri"/>
                <w:b/>
                <w:bCs/>
                <w:sz w:val="19"/>
                <w:szCs w:val="19"/>
              </w:rPr>
              <w:t xml:space="preserve">Recommendation</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Trading-holiday calendar</w:t>
            </w:r>
          </w:p>
        </w:tc>
        <w:tc>
          <w:tcPr>
            <w:tcW w:type="dxa" w:w="4300"/>
            <w:tcMar>
              <w:top w:type="dxa" w:w="70"/>
              <w:left w:type="dxa" w:w="110"/>
              <w:bottom w:type="dxa" w:w="70"/>
              <w:right w:type="dxa" w:w="110"/>
            </w:tcMar>
          </w:tcPr>
          <w:p>
            <w:pPr>
              <w:spacing w:after="0"/>
            </w:pPr>
            <w:r>
              <w:rPr>
                <w:rFonts w:ascii="Calibri" w:cs="Calibri" w:eastAsia="Calibri" w:hAnsi="Calibri"/>
                <w:sz w:val="19"/>
                <w:szCs w:val="19"/>
              </w:rPr>
              <w:t xml:space="preserve">No holidays are loaded. On an exchange holiday that falls on a weekday, the application will accept bids all day as though it were a normal session. Gandhi Jayanti, 2 October, is a Friday.</w:t>
            </w:r>
          </w:p>
        </w:tc>
        <w:tc>
          <w:tcPr>
            <w:tcW w:type="dxa" w:w="2360"/>
            <w:tcMar>
              <w:top w:type="dxa" w:w="70"/>
              <w:left w:type="dxa" w:w="110"/>
              <w:bottom w:type="dxa" w:w="70"/>
              <w:right w:type="dxa" w:w="110"/>
            </w:tcMar>
          </w:tcPr>
          <w:p>
            <w:pPr>
              <w:spacing w:after="0"/>
            </w:pPr>
            <w:r>
              <w:rPr>
                <w:rFonts w:ascii="Calibri" w:cs="Calibri" w:eastAsia="Calibri" w:hAnsi="Calibri"/>
                <w:sz w:val="19"/>
                <w:szCs w:val="19"/>
              </w:rPr>
              <w:t xml:space="preserve">Load the 2026 NSE/BSE holiday list into Settings before go-live. Ten minutes.</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Withdrawal after the file is built</w:t>
            </w:r>
          </w:p>
        </w:tc>
        <w:tc>
          <w:tcPr>
            <w:tcW w:type="dxa" w:w="4300"/>
            <w:tcMar>
              <w:top w:type="dxa" w:w="70"/>
              <w:left w:type="dxa" w:w="110"/>
              <w:bottom w:type="dxa" w:w="70"/>
              <w:right w:type="dxa" w:w="110"/>
            </w:tcMar>
          </w:tcPr>
          <w:p>
            <w:pPr>
              <w:spacing w:after="0"/>
            </w:pPr>
            <w:r>
              <w:rPr>
                <w:rFonts w:ascii="Calibri" w:cs="Calibri" w:eastAsia="Calibri" w:hAnsi="Calibri"/>
                <w:sz w:val="19"/>
                <w:szCs w:val="19"/>
              </w:rPr>
              <w:t xml:space="preserve">The desk generates and uploads the exchange file at, say, 14:30. A client withdraws at 14:45. The book shows the bid withdrawn; the exchange still holds it, and no screen says so.</w:t>
            </w:r>
          </w:p>
        </w:tc>
        <w:tc>
          <w:tcPr>
            <w:tcW w:type="dxa" w:w="2360"/>
            <w:tcMar>
              <w:top w:type="dxa" w:w="70"/>
              <w:left w:type="dxa" w:w="110"/>
              <w:bottom w:type="dxa" w:w="70"/>
              <w:right w:type="dxa" w:w="110"/>
            </w:tcMar>
          </w:tcPr>
          <w:p>
            <w:pPr>
              <w:spacing w:after="0"/>
            </w:pPr>
            <w:r>
              <w:rPr>
                <w:rFonts w:ascii="Calibri" w:cs="Calibri" w:eastAsia="Calibri" w:hAnsi="Calibri"/>
                <w:sz w:val="19"/>
                <w:szCs w:val="19"/>
              </w:rPr>
              <w:t xml:space="preserve">Either stop withdrawals once a file has been generated for that issue, or have the desk regenerate and re-upload. A rule is needed either way.</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Revoking a branch or AP session</w:t>
            </w:r>
          </w:p>
        </w:tc>
        <w:tc>
          <w:tcPr>
            <w:tcW w:type="dxa" w:w="4300"/>
            <w:tcMar>
              <w:top w:type="dxa" w:w="70"/>
              <w:left w:type="dxa" w:w="110"/>
              <w:bottom w:type="dxa" w:w="70"/>
              <w:right w:type="dxa" w:w="110"/>
            </w:tcMar>
          </w:tcPr>
          <w:p>
            <w:pPr>
              <w:spacing w:after="0"/>
            </w:pPr>
            <w:r>
              <w:rPr>
                <w:rFonts w:ascii="Calibri" w:cs="Calibri" w:eastAsia="Calibri" w:hAnsi="Calibri"/>
                <w:sz w:val="19"/>
                <w:szCs w:val="19"/>
              </w:rPr>
              <w:t xml:space="preserve">Disabling a branch stops them signing in again; it does not end a session already open. There is also no screen to disable a branch — it is a direct database change today.</w:t>
            </w:r>
          </w:p>
        </w:tc>
        <w:tc>
          <w:tcPr>
            <w:tcW w:type="dxa" w:w="2360"/>
            <w:tcMar>
              <w:top w:type="dxa" w:w="70"/>
              <w:left w:type="dxa" w:w="110"/>
              <w:bottom w:type="dxa" w:w="70"/>
              <w:right w:type="dxa" w:w="110"/>
            </w:tcMar>
          </w:tcPr>
          <w:p>
            <w:pPr>
              <w:spacing w:after="0"/>
            </w:pPr>
            <w:r>
              <w:rPr>
                <w:rFonts w:ascii="Calibri" w:cs="Calibri" w:eastAsia="Calibri" w:hAnsi="Calibri"/>
                <w:sz w:val="19"/>
                <w:szCs w:val="19"/>
              </w:rPr>
              <w:t xml:space="preserve">Worth adding, but a manual database change plus a two-hour session expiry is survivable for launch.</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Confirmation-code flooding</w:t>
            </w:r>
          </w:p>
        </w:tc>
        <w:tc>
          <w:tcPr>
            <w:tcW w:type="dxa" w:w="4300"/>
            <w:tcMar>
              <w:top w:type="dxa" w:w="70"/>
              <w:left w:type="dxa" w:w="110"/>
              <w:bottom w:type="dxa" w:w="70"/>
              <w:right w:type="dxa" w:w="110"/>
            </w:tcMar>
          </w:tcPr>
          <w:p>
            <w:pPr>
              <w:spacing w:after="0"/>
            </w:pPr>
            <w:r>
              <w:rPr>
                <w:rFonts w:ascii="Calibri" w:cs="Calibri" w:eastAsia="Calibri" w:hAnsi="Calibri"/>
                <w:sz w:val="19"/>
                <w:szCs w:val="19"/>
              </w:rPr>
              <w:t xml:space="preserve">There is no per-client limit on requesting bid confirmation codes. An AP could send their own client hundreds of SMS and emails.</w:t>
            </w:r>
          </w:p>
        </w:tc>
        <w:tc>
          <w:tcPr>
            <w:tcW w:type="dxa" w:w="2360"/>
            <w:tcMar>
              <w:top w:type="dxa" w:w="70"/>
              <w:left w:type="dxa" w:w="110"/>
              <w:bottom w:type="dxa" w:w="70"/>
              <w:right w:type="dxa" w:w="110"/>
            </w:tcMar>
          </w:tcPr>
          <w:p>
            <w:pPr>
              <w:spacing w:after="0"/>
            </w:pPr>
            <w:r>
              <w:rPr>
                <w:rFonts w:ascii="Calibri" w:cs="Calibri" w:eastAsia="Calibri" w:hAnsi="Calibri"/>
                <w:sz w:val="19"/>
                <w:szCs w:val="19"/>
              </w:rPr>
              <w:t xml:space="preserve">Low risk at launch — it needs a signed-in AP acting against their own client — but worth a cooldown soon.</w:t>
            </w:r>
          </w:p>
        </w:tc>
      </w:tr>
      <w:tr>
        <w:tc>
          <w:tcPr>
            <w:tcW w:type="dxa" w:w="2700"/>
            <w:tcMar>
              <w:top w:type="dxa" w:w="70"/>
              <w:left w:type="dxa" w:w="110"/>
              <w:bottom w:type="dxa" w:w="70"/>
              <w:right w:type="dxa" w:w="110"/>
            </w:tcMar>
          </w:tcPr>
          <w:p>
            <w:pPr>
              <w:spacing w:after="0"/>
            </w:pPr>
            <w:r>
              <w:rPr>
                <w:rFonts w:ascii="Calibri" w:cs="Calibri" w:eastAsia="Calibri" w:hAnsi="Calibri"/>
                <w:sz w:val="19"/>
                <w:szCs w:val="19"/>
              </w:rPr>
              <w:t xml:space="preserve">Retail discount and the cut-off price</w:t>
            </w:r>
          </w:p>
        </w:tc>
        <w:tc>
          <w:tcPr>
            <w:tcW w:type="dxa" w:w="4300"/>
            <w:tcMar>
              <w:top w:type="dxa" w:w="70"/>
              <w:left w:type="dxa" w:w="110"/>
              <w:bottom w:type="dxa" w:w="70"/>
              <w:right w:type="dxa" w:w="110"/>
            </w:tcMar>
          </w:tcPr>
          <w:p>
            <w:pPr>
              <w:spacing w:after="0"/>
            </w:pPr>
            <w:r>
              <w:rPr>
                <w:rFonts w:ascii="Calibri" w:cs="Calibri" w:eastAsia="Calibri" w:hAnsi="Calibri"/>
                <w:sz w:val="19"/>
                <w:szCs w:val="19"/>
              </w:rPr>
              <w:t xml:space="preserve">A retail cut-off bid is capped against the retail minimum price but written into the BSE file at the floor price. On an issue with a retail discount the two differ, and a bid that fits the 2 lakh cap here can exceed it at the exchange.</w:t>
            </w:r>
          </w:p>
        </w:tc>
        <w:tc>
          <w:tcPr>
            <w:tcW w:type="dxa" w:w="2360"/>
            <w:tcMar>
              <w:top w:type="dxa" w:w="70"/>
              <w:left w:type="dxa" w:w="110"/>
              <w:bottom w:type="dxa" w:w="70"/>
              <w:right w:type="dxa" w:w="110"/>
            </w:tcMar>
          </w:tcPr>
          <w:p>
            <w:pPr>
              <w:spacing w:after="0"/>
            </w:pPr>
            <w:r>
              <w:rPr>
                <w:rFonts w:ascii="Calibri" w:cs="Calibri" w:eastAsia="Calibri" w:hAnsi="Calibri"/>
                <w:sz w:val="19"/>
                <w:szCs w:val="19"/>
              </w:rPr>
              <w:t xml:space="preserve">Only bites on a discounted issue. Confirm whether the first issues carry a retail discount.</w:t>
            </w:r>
          </w:p>
        </w:tc>
      </w:tr>
    </w:tbl>
    <w:p>
      <w:pPr>
        <w:spacing w:after="120" w:before="0"/>
      </w:pPr>
      <w:r>
        <w:rPr>
          <w:rFonts w:ascii="Calibri" w:cs="Calibri" w:eastAsia="Calibri" w:hAnsi="Calibri"/>
          <w:sz w:val="20"/>
          <w:szCs w:val="20"/>
        </w:rPr>
        <w:t xml:space="preserve"/>
      </w:r>
    </w:p>
    <w:p>
      <w:pPr>
        <w:spacing w:after="160" w:before="0"/>
      </w:pPr>
      <w:r>
        <w:rPr>
          <w:rFonts w:ascii="Calibri" w:cs="Calibri" w:eastAsia="Calibri" w:hAnsi="Calibri"/>
          <w:sz w:val="20"/>
          <w:szCs w:val="20"/>
        </w:rPr>
        <w:t xml:space="preserve">One further item is a policy question rather than a defect: any account holding OFS access currently sees unmasked PAN, mobile and email, and can edit settings. The view / edit / unmask distinction exists in the permission strings but is not applied to OFS pages. If Ashika expects a read-only, masked OFS role, that needs to be built.</w:t>
      </w:r>
    </w:p>
    <w:p>
      <w:pPr>
        <w:pStyle w:val="Heading1"/>
        <w:spacing w:after="160" w:before="360"/>
      </w:pPr>
      <w:r>
        <w:rPr>
          <w:rFonts w:ascii="Calibri" w:cs="Calibri" w:eastAsia="Calibri" w:hAnsi="Calibri"/>
          <w:b/>
          <w:bCs/>
          <w:color w:val="1F4E79"/>
          <w:sz w:val="30"/>
          <w:szCs w:val="30"/>
        </w:rPr>
        <w:t xml:space="preserve">Before the 15th</w:t>
      </w:r>
    </w:p>
    <w:p>
      <w:pPr>
        <w:pStyle w:val="Heading2"/>
        <w:spacing w:after="120" w:before="260"/>
      </w:pPr>
      <w:r>
        <w:rPr>
          <w:rFonts w:ascii="Calibri" w:cs="Calibri" w:eastAsia="Calibri" w:hAnsi="Calibri"/>
          <w:b/>
          <w:bCs/>
          <w:color w:val="1F4E79"/>
          <w:sz w:val="23"/>
          <w:szCs w:val="23"/>
        </w:rPr>
        <w:t xml:space="preserve">Deployment</w:t>
      </w:r>
    </w:p>
    <w:p>
      <w:pPr>
        <w:pStyle w:val="ListParagraph"/>
        <w:numPr>
          <w:ilvl w:val="0"/>
          <w:numId w:val="1"/>
        </w:numPr>
        <w:spacing w:after="80"/>
      </w:pPr>
      <w:r>
        <w:rPr>
          <w:rFonts w:ascii="Calibri" w:cs="Calibri" w:eastAsia="Calibri" w:hAnsi="Calibri"/>
          <w:sz w:val="20"/>
          <w:szCs w:val="20"/>
        </w:rPr>
        <w:t xml:space="preserve">Deploy the current main branch and run the database migrations — 021 and 022 are new and both are required.</w:t>
      </w:r>
    </w:p>
    <w:p>
      <w:pPr>
        <w:pStyle w:val="ListParagraph"/>
        <w:numPr>
          <w:ilvl w:val="0"/>
          <w:numId w:val="1"/>
        </w:numPr>
        <w:spacing w:after="80"/>
      </w:pPr>
      <w:r>
        <w:rPr>
          <w:rFonts w:ascii="Calibri" w:cs="Calibri" w:eastAsia="Calibri" w:hAnsi="Calibri"/>
          <w:sz w:val="20"/>
          <w:szCs w:val="20"/>
        </w:rPr>
        <w:t xml:space="preserve">Hard-refresh the browser on all three logins; the page assets changed.</w:t>
      </w:r>
    </w:p>
    <w:p>
      <w:pPr>
        <w:pStyle w:val="Heading2"/>
        <w:spacing w:after="120" w:before="260"/>
      </w:pPr>
      <w:r>
        <w:rPr>
          <w:rFonts w:ascii="Calibri" w:cs="Calibri" w:eastAsia="Calibri" w:hAnsi="Calibri"/>
          <w:b/>
          <w:bCs/>
          <w:color w:val="1F4E79"/>
          <w:sz w:val="23"/>
          <w:szCs w:val="23"/>
        </w:rPr>
        <w:t xml:space="preserve">Settings to set on the app server</w:t>
      </w:r>
    </w:p>
    <w:p>
      <w:pPr>
        <w:pStyle w:val="ListParagraph"/>
        <w:numPr>
          <w:ilvl w:val="0"/>
          <w:numId w:val="1"/>
        </w:numPr>
        <w:spacing w:after="80"/>
      </w:pPr>
      <w:r>
        <w:rPr>
          <w:rFonts w:ascii="Calibri" w:cs="Calibri" w:eastAsia="Calibri" w:hAnsi="Calibri"/>
          <w:sz w:val="20"/>
          <w:szCs w:val="20"/>
        </w:rPr>
        <w:t xml:space="preserve">COOKIE_SECURE=true. The sample configuration ships it as false, and false wins over the production default, so a copied configuration leaves the session cookie without the Secure flag on an HTTPS site.</w:t>
      </w:r>
    </w:p>
    <w:p>
      <w:pPr>
        <w:pStyle w:val="ListParagraph"/>
        <w:numPr>
          <w:ilvl w:val="0"/>
          <w:numId w:val="1"/>
        </w:numPr>
        <w:spacing w:after="80"/>
      </w:pPr>
      <w:r>
        <w:rPr>
          <w:rFonts w:ascii="Calibri" w:cs="Calibri" w:eastAsia="Calibri" w:hAnsi="Calibri"/>
          <w:sz w:val="20"/>
          <w:szCs w:val="20"/>
        </w:rPr>
        <w:t xml:space="preserve">CLIENT_JWT_SECRET set to its own value, distinct from JWT_SECRET.</w:t>
      </w:r>
    </w:p>
    <w:p>
      <w:pPr>
        <w:pStyle w:val="ListParagraph"/>
        <w:numPr>
          <w:ilvl w:val="0"/>
          <w:numId w:val="1"/>
        </w:numPr>
        <w:spacing w:after="80"/>
      </w:pPr>
      <w:r>
        <w:rPr>
          <w:rFonts w:ascii="Calibri" w:cs="Calibri" w:eastAsia="Calibri" w:hAnsi="Calibri"/>
          <w:sz w:val="20"/>
          <w:szCs w:val="20"/>
        </w:rPr>
        <w:t xml:space="preserve">SECURITY_CONTACT, so the published security contact resolves.</w:t>
      </w:r>
    </w:p>
    <w:p>
      <w:pPr>
        <w:pStyle w:val="Heading2"/>
        <w:spacing w:after="120" w:before="260"/>
      </w:pPr>
      <w:r>
        <w:rPr>
          <w:rFonts w:ascii="Calibri" w:cs="Calibri" w:eastAsia="Calibri" w:hAnsi="Calibri"/>
          <w:b/>
          <w:bCs/>
          <w:color w:val="1F4E79"/>
          <w:sz w:val="23"/>
          <w:szCs w:val="23"/>
        </w:rPr>
        <w:t xml:space="preserve">Settings to set in the application</w:t>
      </w:r>
    </w:p>
    <w:p>
      <w:pPr>
        <w:pStyle w:val="ListParagraph"/>
        <w:numPr>
          <w:ilvl w:val="0"/>
          <w:numId w:val="1"/>
        </w:numPr>
        <w:spacing w:after="80"/>
      </w:pPr>
      <w:r>
        <w:rPr>
          <w:rFonts w:ascii="Calibri" w:cs="Calibri" w:eastAsia="Calibri" w:hAnsi="Calibri"/>
          <w:sz w:val="20"/>
          <w:szCs w:val="20"/>
        </w:rPr>
        <w:t xml:space="preserve">Exchanges we are live on — NSE, BSE or both, matching where Ashika is actually enabled.</w:t>
      </w:r>
    </w:p>
    <w:p>
      <w:pPr>
        <w:pStyle w:val="ListParagraph"/>
        <w:numPr>
          <w:ilvl w:val="0"/>
          <w:numId w:val="1"/>
        </w:numPr>
        <w:spacing w:after="80"/>
      </w:pPr>
      <w:r>
        <w:rPr>
          <w:rFonts w:ascii="Calibri" w:cs="Calibri" w:eastAsia="Calibri" w:hAnsi="Calibri"/>
          <w:sz w:val="20"/>
          <w:szCs w:val="20"/>
        </w:rPr>
        <w:t xml:space="preserve">Trading holidays for the rest of 2026.</w:t>
      </w:r>
    </w:p>
    <w:p>
      <w:pPr>
        <w:pStyle w:val="ListParagraph"/>
        <w:numPr>
          <w:ilvl w:val="0"/>
          <w:numId w:val="1"/>
        </w:numPr>
        <w:spacing w:after="80"/>
      </w:pPr>
      <w:r>
        <w:rPr>
          <w:rFonts w:ascii="Calibri" w:cs="Calibri" w:eastAsia="Calibri" w:hAnsi="Calibri"/>
          <w:sz w:val="20"/>
          <w:szCs w:val="20"/>
        </w:rPr>
        <w:t xml:space="preserve">Daily desk cut-off, retail cap and HNI minimum — confirm each reads as intended.</w:t>
      </w:r>
    </w:p>
    <w:p>
      <w:pPr>
        <w:pStyle w:val="ListParagraph"/>
        <w:numPr>
          <w:ilvl w:val="0"/>
          <w:numId w:val="1"/>
        </w:numPr>
        <w:spacing w:after="80"/>
      </w:pPr>
      <w:r>
        <w:rPr>
          <w:rFonts w:ascii="Calibri" w:cs="Calibri" w:eastAsia="Calibri" w:hAnsi="Calibri"/>
          <w:sz w:val="20"/>
          <w:szCs w:val="20"/>
        </w:rPr>
        <w:t xml:space="preserve">Order confirmation email — leave off until the addresses in the client master have been checked.</w:t>
      </w:r>
    </w:p>
    <w:p>
      <w:pPr>
        <w:pStyle w:val="ListParagraph"/>
        <w:numPr>
          <w:ilvl w:val="0"/>
          <w:numId w:val="1"/>
        </w:numPr>
        <w:spacing w:after="80"/>
      </w:pPr>
      <w:r>
        <w:rPr>
          <w:rFonts w:ascii="Calibri" w:cs="Calibri" w:eastAsia="Calibri" w:hAnsi="Calibri"/>
          <w:sz w:val="20"/>
          <w:szCs w:val="20"/>
        </w:rPr>
        <w:t xml:space="preserve">Client confirmation for bids placed on a client's behalf — confirm this is on.</w:t>
      </w:r>
    </w:p>
    <w:p>
      <w:pPr>
        <w:pStyle w:val="Heading2"/>
        <w:spacing w:after="120" w:before="260"/>
      </w:pPr>
      <w:r>
        <w:rPr>
          <w:rFonts w:ascii="Calibri" w:cs="Calibri" w:eastAsia="Calibri" w:hAnsi="Calibri"/>
          <w:b/>
          <w:bCs/>
          <w:color w:val="1F4E79"/>
          <w:sz w:val="23"/>
          <w:szCs w:val="23"/>
        </w:rPr>
        <w:t xml:space="preserve">Still outstanding with Ashika and the exchanges</w:t>
      </w:r>
    </w:p>
    <w:p>
      <w:pPr>
        <w:pStyle w:val="ListParagraph"/>
        <w:numPr>
          <w:ilvl w:val="0"/>
          <w:numId w:val="1"/>
        </w:numPr>
        <w:spacing w:after="80"/>
      </w:pPr>
      <w:r>
        <w:rPr>
          <w:rFonts w:ascii="Calibri" w:cs="Calibri" w:eastAsia="Calibri" w:hAnsi="Calibri"/>
          <w:sz w:val="20"/>
          <w:szCs w:val="20"/>
        </w:rPr>
        <w:t xml:space="preserve">NSE circular NSE/CMTR/72975 — needed to confirm the NSE file layout before the first live upload.</w:t>
      </w:r>
    </w:p>
    <w:p>
      <w:pPr>
        <w:pStyle w:val="ListParagraph"/>
        <w:numPr>
          <w:ilvl w:val="0"/>
          <w:numId w:val="1"/>
        </w:numPr>
        <w:spacing w:after="80"/>
      </w:pPr>
      <w:r>
        <w:rPr>
          <w:rFonts w:ascii="Calibri" w:cs="Calibri" w:eastAsia="Calibri" w:hAnsi="Calibri"/>
          <w:sz w:val="20"/>
          <w:szCs w:val="20"/>
        </w:rPr>
        <w:t xml:space="preserve">Whitelisted IP for the exchange upload.</w:t>
      </w:r>
    </w:p>
    <w:p>
      <w:pPr>
        <w:pStyle w:val="ListParagraph"/>
        <w:numPr>
          <w:ilvl w:val="0"/>
          <w:numId w:val="1"/>
        </w:numPr>
        <w:spacing w:after="80"/>
      </w:pPr>
      <w:r>
        <w:rPr>
          <w:rFonts w:ascii="Calibri" w:cs="Calibri" w:eastAsia="Calibri" w:hAnsi="Calibri"/>
          <w:sz w:val="20"/>
          <w:szCs w:val="20"/>
        </w:rPr>
        <w:t xml:space="preserve">e-OFS ENIT enablement.</w:t>
      </w:r>
    </w:p>
    <w:p>
      <w:pPr>
        <w:pStyle w:val="ListParagraph"/>
        <w:numPr>
          <w:ilvl w:val="0"/>
          <w:numId w:val="1"/>
        </w:numPr>
        <w:spacing w:after="80"/>
      </w:pPr>
      <w:r>
        <w:rPr>
          <w:rFonts w:ascii="Calibri" w:cs="Calibri" w:eastAsia="Calibri" w:hAnsi="Calibri"/>
          <w:sz w:val="20"/>
          <w:szCs w:val="20"/>
        </w:rPr>
        <w:t xml:space="preserve">The live margin feed. Margins are a manual or CSV upload today, cleared to zero each morning.</w:t>
      </w:r>
    </w:p>
    <w:p>
      <w:pPr>
        <w:pStyle w:val="ListParagraph"/>
        <w:numPr>
          <w:ilvl w:val="0"/>
          <w:numId w:val="1"/>
        </w:numPr>
        <w:spacing w:after="80"/>
      </w:pPr>
      <w:r>
        <w:rPr>
          <w:rFonts w:ascii="Calibri" w:cs="Calibri" w:eastAsia="Calibri" w:hAnsi="Calibri"/>
          <w:sz w:val="20"/>
          <w:szCs w:val="20"/>
        </w:rPr>
        <w:t xml:space="preserve">The go-live mailbox and the SMS gateway.</w:t>
      </w:r>
    </w:p>
    <w:p>
      <w:pPr>
        <w:spacing w:after="200" w:before="0"/>
      </w:pPr>
      <w:r>
        <w:rPr>
          <w:rFonts w:ascii="Calibri" w:cs="Calibri" w:eastAsia="Calibri" w:hAnsi="Calibri"/>
          <w:sz w:val="20"/>
          <w:szCs w:val="20"/>
        </w:rPr>
        <w:t xml:space="preserve"/>
      </w:r>
    </w:p>
    <w:p>
      <w:pPr>
        <w:spacing w:after="12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Go ahead on the 15th, with the holiday calendar loaded and a stated answer on the withdrawal-after-upload rule. Keep order confirmation emails off for the first issue and turn them on once the address data has been checked against a live run.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Ashika OFS — Go-live readiness</dc:title>
  <dc:creator>Ashika OFS</dc:creator>
  <cp:lastModifiedBy>Un-named</cp:lastModifiedBy>
  <cp:revision>1</cp:revision>
  <dcterms:created xsi:type="dcterms:W3CDTF">2026-09-13T05:46:13.299Z</dcterms:created>
  <dcterms:modified xsi:type="dcterms:W3CDTF">2026-09-13T05:46:13.318Z</dcterms:modified>
</cp:coreProperties>
</file>

<file path=docProps/custom.xml><?xml version="1.0" encoding="utf-8"?>
<Properties xmlns="http://schemas.openxmlformats.org/officeDocument/2006/custom-properties" xmlns:vt="http://schemas.openxmlformats.org/officeDocument/2006/docPropsVTypes"/>
</file>