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243F8E"/>
          <w:sz w:val="48"/>
          <w:szCs w:val="48"/>
        </w:rPr>
        <w:t xml:space="preserve">Ashika OFS Module</w:t>
      </w:r>
    </w:p>
    <w:p>
      <w:pPr>
        <w:spacing w:after="40"/>
      </w:pPr>
      <w:r>
        <w:rPr>
          <w:color w:val="17B4B9"/>
          <w:sz w:val="26"/>
          <w:szCs w:val="26"/>
        </w:rPr>
        <w:t xml:space="preserve">Offer for Sale — functional status and access guide</w:t>
      </w:r>
    </w:p>
    <w:p>
      <w:pPr>
        <w:pBdr>
          <w:bottom w:val="single" w:color="17B4B9" w:sz="12"/>
        </w:pBdr>
        <w:spacing w:after="3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Prepared for</w:t>
            </w:r>
          </w:p>
        </w:tc>
        <w:tc>
          <w:tcPr>
            <w:tcW w:type="dxa" w:w="69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Ashika Stock Broking Ltd</w:t>
            </w:r>
          </w:p>
        </w:tc>
      </w:tr>
      <w:tr>
        <w:tc>
          <w:tcPr>
            <w:tcW w:type="dxa" w:w="2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Prepared by</w:t>
            </w:r>
          </w:p>
        </w:tc>
        <w:tc>
          <w:tcPr>
            <w:tcW w:type="dxa" w:w="69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NIYTRI Technologies</w:t>
            </w:r>
          </w:p>
        </w:tc>
      </w:tr>
      <w:tr>
        <w:tc>
          <w:tcPr>
            <w:tcW w:type="dxa" w:w="2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Date</w:t>
            </w:r>
          </w:p>
        </w:tc>
        <w:tc>
          <w:tcPr>
            <w:tcW w:type="dxa" w:w="69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2 September 2026</w:t>
            </w:r>
          </w:p>
        </w:tc>
      </w:tr>
      <w:tr>
        <w:tc>
          <w:tcPr>
            <w:tcW w:type="dxa" w:w="2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Status</w:t>
            </w:r>
          </w:p>
        </w:tc>
        <w:tc>
          <w:tcPr>
            <w:tcW w:type="dxa" w:w="69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Phase 1 delivered and live on UAT — for review and sign-off</w:t>
            </w:r>
          </w:p>
        </w:tc>
      </w:tr>
      <w:tr>
        <w:tc>
          <w:tcPr>
            <w:tcW w:type="dxa" w:w="2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Environment</w:t>
            </w:r>
          </w:p>
        </w:tc>
        <w:tc>
          <w:tcPr>
            <w:tcW w:type="dxa" w:w="69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https://ofs-bids.ashikagroup.com (HTTPS, Let’s Encrypt)</w:t>
            </w:r>
          </w:p>
        </w:tc>
      </w:tr>
      <w:tr>
        <w:tc>
          <w:tcPr>
            <w:tcW w:type="dxa" w:w="2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Reference</w:t>
            </w:r>
          </w:p>
        </w:tc>
        <w:tc>
          <w:tcPr>
            <w:tcW w:type="dxa" w:w="69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Ashika OFS Module — Product &amp; Technical Specification v1.0</w:t>
            </w:r>
          </w:p>
        </w:tc>
      </w:tr>
    </w:tbl>
    <w:p>
      <w:pPr>
        <w:spacing w:after="280"/>
      </w:pPr>
      <w:r>
        <w:rPr>
          <w:sz w:val="2"/>
          <w:szCs w:val="2"/>
        </w:rPr>
        <w:t xml:space="preserve"/>
      </w:r>
    </w:p>
    <w:p>
      <w:pPr>
        <w:pStyle w:val="Heading1"/>
        <w:spacing w:after="160" w:before="360"/>
      </w:pPr>
      <w:r>
        <w:rPr>
          <w:b/>
          <w:bCs/>
          <w:color w:val="243F8E"/>
          <w:sz w:val="28"/>
          <w:szCs w:val="28"/>
        </w:rPr>
        <w:t xml:space="preserve">1.  In one paragraph</w:t>
      </w:r>
    </w:p>
    <w:p>
      <w:pPr>
        <w:spacing w:after="120" w:before="0"/>
      </w:pPr>
      <w:r>
        <w:rPr>
          <w:color w:val="1B2A4E"/>
          <w:sz w:val="20"/>
          <w:szCs w:val="20"/>
        </w:rPr>
        <w:t xml:space="preserve">Phase 1 of the OFS module is built and running. The OFS BackOffice team can see every open Offer for Sale, watch the bid book update live, place, modify and cancel bids on behalf of clients, generate the NSE and BSE bid files in their native formats, import the exchange allotment file and email allotted clients. Clients can sign in and see their own bids and allotments. Everything that changes anything is recorded in an audit trail the back office can read without a DBA.</w:t>
      </w:r>
    </w:p>
    <w:p>
      <w:pPr>
        <w:spacing w:after="120" w:before="0"/>
      </w:pPr>
      <w:r>
        <w:rPr>
          <w:color w:val="1B2A4E"/>
          <w:sz w:val="20"/>
          <w:szCs w:val="20"/>
        </w:rPr>
        <w:t xml:space="preserve">Four things are outstanding, and three of the four are waiting on documents or decisions from Ashika rather than on development. They are listed in section 6, in the order that unblocks the most.</w:t>
      </w:r>
    </w:p>
    <w:p>
      <w:pPr>
        <w:pStyle w:val="Heading1"/>
        <w:spacing w:after="160" w:before="360"/>
      </w:pPr>
      <w:r>
        <w:rPr>
          <w:b/>
          <w:bCs/>
          <w:color w:val="243F8E"/>
          <w:sz w:val="28"/>
          <w:szCs w:val="28"/>
        </w:rPr>
        <w:t xml:space="preserve">2.  Where it runs, and how to sign in</w:t>
      </w:r>
    </w:p>
    <w:p>
      <w:pPr>
        <w:pStyle w:val="Heading2"/>
        <w:spacing w:after="120" w:before="260"/>
      </w:pPr>
      <w:r>
        <w:rPr>
          <w:b/>
          <w:bCs/>
          <w:color w:val="243F8E"/>
          <w:sz w:val="23"/>
          <w:szCs w:val="23"/>
        </w:rPr>
        <w:t xml:space="preserve">2.1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Front end</w:t>
            </w:r>
          </w:p>
        </w:tc>
        <w:tc>
          <w:tcPr>
            <w:tcW w:type="dxa" w:w="61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Address</w:t>
            </w:r>
          </w:p>
        </w:tc>
      </w:tr>
      <w:tr>
        <w:tc>
          <w:tcPr>
            <w:tcW w:type="dxa" w:w="32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Client journey</w:t>
            </w:r>
          </w:p>
        </w:tc>
        <w:tc>
          <w:tcPr>
            <w:tcW w:type="dxa" w:w="61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rFonts w:ascii="Consolas" w:cs="Consolas" w:eastAsia="Consolas" w:hAnsi="Consolas"/>
                <w:b w:val="false"/>
                <w:bCs w:val="false"/>
                <w:color w:val="1B2A4E"/>
                <w:sz w:val="17"/>
                <w:szCs w:val="17"/>
              </w:rPr>
              <w:t xml:space="preserve">https://ofs-bids.ashikagroup.com/</w:t>
            </w:r>
          </w:p>
        </w:tc>
      </w:tr>
      <w:tr>
        <w:tc>
          <w:tcPr>
            <w:tcW w:type="dxa" w:w="32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OFS BackOffice</w:t>
            </w:r>
          </w:p>
        </w:tc>
        <w:tc>
          <w:tcPr>
            <w:tcW w:type="dxa" w:w="61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rFonts w:ascii="Consolas" w:cs="Consolas" w:eastAsia="Consolas" w:hAnsi="Consolas"/>
                <w:b w:val="false"/>
                <w:bCs w:val="false"/>
                <w:color w:val="1B2A4E"/>
                <w:sz w:val="17"/>
                <w:szCs w:val="17"/>
              </w:rPr>
              <w:t xml:space="preserve">https://ofs-bids.ashikagroup.com/backoffice/</w:t>
            </w:r>
          </w:p>
        </w:tc>
      </w:tr>
      <w:tr>
        <w:tc>
          <w:tcPr>
            <w:tcW w:type="dxa" w:w="32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Health check</w:t>
            </w:r>
          </w:p>
        </w:tc>
        <w:tc>
          <w:tcPr>
            <w:tcW w:type="dxa" w:w="61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rFonts w:ascii="Consolas" w:cs="Consolas" w:eastAsia="Consolas" w:hAnsi="Consolas"/>
                <w:b w:val="false"/>
                <w:bCs w:val="false"/>
                <w:color w:val="1B2A4E"/>
                <w:sz w:val="17"/>
                <w:szCs w:val="17"/>
              </w:rPr>
              <w:t xml:space="preserve">https://ofs-bids.ashikagroup.com/readyz</w:t>
            </w:r>
          </w:p>
        </w:tc>
      </w:tr>
    </w:tbl>
    <w:p>
      <w:pPr>
        <w:spacing w:after="120"/>
      </w:pPr>
      <w:r>
        <w:rPr>
          <w:sz w:val="2"/>
          <w:szCs w:val="2"/>
        </w:rPr>
        <w:t xml:space="preserve"/>
      </w:r>
    </w:p>
    <w:p>
      <w:pPr>
        <w:spacing w:after="120" w:before="0"/>
      </w:pPr>
      <w:r>
        <w:rPr>
          <w:color w:val="6B7F9E"/>
          <w:sz w:val="18"/>
          <w:szCs w:val="18"/>
        </w:rPr>
        <w:t xml:space="preserve">Both are served over HTTPS with a Let’s Encrypt certificate that renews automatically. The older /desk address still works and redirects to /backoffice, so any bookmark already in circulation keeps working.</w:t>
      </w:r>
    </w:p>
    <w:p>
      <w:pPr>
        <w:pStyle w:val="Heading2"/>
        <w:spacing w:after="120" w:before="260"/>
      </w:pPr>
      <w:r>
        <w:rPr>
          <w:b/>
          <w:bCs/>
          <w:color w:val="243F8E"/>
          <w:sz w:val="23"/>
          <w:szCs w:val="23"/>
        </w:rPr>
        <w:t xml:space="preserve">2.2  How the back office signs in</w:t>
      </w:r>
    </w:p>
    <w:p>
      <w:pPr>
        <w:spacing w:after="120" w:before="0"/>
      </w:pPr>
      <w:r>
        <w:rPr>
          <w:color w:val="1B2A4E"/>
          <w:sz w:val="20"/>
          <w:szCs w:val="20"/>
        </w:rPr>
        <w:t xml:space="preserve">There are two doors, and both authenticate against the SAME accounts Ashika already has in the portal (admin-staging-api.users). The OFS module stores no staff password of its own and creates no staff account.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Door</w:t>
            </w:r>
          </w:p>
        </w:tc>
        <w:tc>
          <w:tcPr>
            <w:tcW w:type="dxa" w:w="34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How it works</w:t>
            </w:r>
          </w:p>
        </w:tc>
        <w:tc>
          <w:tcPr>
            <w:tcW w:type="dxa" w:w="38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Status</w:t>
            </w:r>
          </w:p>
        </w:tc>
      </w:tr>
      <w:tr>
        <w:tc>
          <w:tcPr>
            <w:tcW w:type="dxa" w:w="21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Direct sign-in</w:t>
            </w:r>
          </w:p>
        </w:tc>
        <w:tc>
          <w:tcPr>
            <w:tcW w:type="dxa" w:w="3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Email + your portal password, at /backoffice/login.html. A 6-digit code follows if the role or the account requires MFA.</w:t>
            </w:r>
          </w:p>
        </w:tc>
        <w:tc>
          <w:tcPr>
            <w:tcW w:type="dxa" w:w="38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Available now. No change needed to the portal.</w:t>
            </w:r>
          </w:p>
        </w:tc>
      </w:tr>
      <w:tr>
        <w:tc>
          <w:tcPr>
            <w:tcW w:type="dxa" w:w="21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Portal SSO</w:t>
            </w:r>
          </w:p>
        </w:tc>
        <w:tc>
          <w:tcPr>
            <w:tcW w:type="dxa" w:w="3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Sign in to the portal as usual and open the OFS link; the portal hands over a 60-second single-use ticket.</w:t>
            </w:r>
          </w:p>
        </w:tc>
        <w:tc>
          <w:tcPr>
            <w:tcW w:type="dxa" w:w="38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Needs a small drop-in route added to the portal (supplied). No second password prompt.</w:t>
            </w:r>
          </w:p>
        </w:tc>
      </w:tr>
    </w:tbl>
    <w:p>
      <w:pPr>
        <w:spacing w:after="140"/>
      </w:pPr>
      <w:r>
        <w:rPr>
          <w:sz w:val="2"/>
          <w:szCs w:val="2"/>
        </w:rPr>
        <w:t xml:space="preserve"/>
      </w:r>
    </w:p>
    <w:p>
      <w:pPr>
        <w:spacing w:after="120" w:before="0"/>
      </w:pPr>
      <w:r>
        <w:rPr>
          <w:b/>
          <w:bCs/>
          <w:color w:val="1B2A4E"/>
          <w:sz w:val="20"/>
          <w:szCs w:val="20"/>
        </w:rPr>
        <w:t xml:space="preserve">Roles and what they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Role</w:t>
            </w:r>
          </w:p>
        </w:tc>
        <w:tc>
          <w:tcPr>
            <w:tcW w:type="dxa" w:w="24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Reaches the back office</w:t>
            </w:r>
          </w:p>
        </w:tc>
        <w:tc>
          <w:tcPr>
            <w:tcW w:type="dxa" w:w="43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What it can do</w:t>
            </w:r>
          </w:p>
        </w:tc>
      </w:tr>
      <w:tr>
        <w:tc>
          <w:tcPr>
            <w:tcW w:type="dxa" w:w="2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SuperAdmin</w:t>
            </w:r>
          </w:p>
        </w:tc>
        <w:tc>
          <w:tcPr>
            <w:tcW w:type="dxa" w:w="2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Yes — nothing to grant</w:t>
            </w:r>
          </w:p>
        </w:tc>
        <w:tc>
          <w:tcPr>
            <w:tcW w:type="dxa" w:w="43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Full access including unmasked client PII. Already in place.</w:t>
            </w:r>
          </w:p>
        </w:tc>
      </w:tr>
      <w:tr>
        <w:tc>
          <w:tcPr>
            <w:tcW w:type="dxa" w:w="2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Admin</w:t>
            </w:r>
          </w:p>
        </w:tc>
        <w:tc>
          <w:tcPr>
            <w:tcW w:type="dxa" w:w="2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Yes</w:t>
            </w:r>
          </w:p>
        </w:tc>
        <w:tc>
          <w:tcPr>
            <w:tcW w:type="dxa" w:w="43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Full back-office function; client PII stays masked.</w:t>
            </w:r>
          </w:p>
        </w:tc>
      </w:tr>
      <w:tr>
        <w:tc>
          <w:tcPr>
            <w:tcW w:type="dxa" w:w="2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OFS-Backoffice</w:t>
            </w:r>
          </w:p>
        </w:tc>
        <w:tc>
          <w:tcPr>
            <w:tcW w:type="dxa" w:w="2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Yes</w:t>
            </w:r>
          </w:p>
        </w:tc>
        <w:tc>
          <w:tcPr>
            <w:tcW w:type="dxa" w:w="43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Purpose-built role: bidding, exchange files, allotment, masters, margins, and unmasked PII.</w:t>
            </w:r>
          </w:p>
        </w:tc>
      </w:tr>
      <w:tr>
        <w:tc>
          <w:tcPr>
            <w:tcW w:type="dxa" w:w="2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Any other role</w:t>
            </w:r>
          </w:p>
        </w:tc>
        <w:tc>
          <w:tcPr>
            <w:tcW w:type="dxa" w:w="2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Only if granted</w:t>
            </w:r>
          </w:p>
        </w:tc>
        <w:tc>
          <w:tcPr>
            <w:tcW w:type="dxa" w:w="43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An administrator grants the ofs-desk page to the role.</w:t>
            </w:r>
          </w:p>
        </w:tc>
      </w:tr>
    </w:tbl>
    <w:p>
      <w:pPr>
        <w:spacing w:after="120"/>
      </w:pPr>
      <w:r>
        <w:rPr>
          <w:sz w:val="2"/>
          <w:szCs w:val="2"/>
        </w:rPr>
        <w:t xml:space="preserve"/>
      </w:r>
    </w:p>
    <w:p>
      <w:pPr>
        <w:spacing w:after="120" w:before="0"/>
      </w:pPr>
      <w:r>
        <w:rPr>
          <w:color w:val="6B7F9E"/>
          <w:sz w:val="18"/>
          <w:szCs w:val="18"/>
        </w:rPr>
        <w:t xml:space="preserve">Signing in ends any other session for the same account, in either application. That is the single-session rule working as designed, not a fault — it is what makes a shared or compromised login visible to the person it belongs to.</w:t>
      </w:r>
    </w:p>
    <w:p>
      <w:r>
        <w:br w:type="page"/>
      </w:r>
    </w:p>
    <w:p>
      <w:pPr>
        <w:pStyle w:val="Heading2"/>
        <w:spacing w:after="120" w:before="260"/>
      </w:pPr>
      <w:r>
        <w:rPr>
          <w:b/>
          <w:bCs/>
          <w:color w:val="243F8E"/>
          <w:sz w:val="23"/>
          <w:szCs w:val="23"/>
        </w:rPr>
        <w:t xml:space="preserve">2.3  How a client signs in</w:t>
      </w:r>
    </w:p>
    <w:p>
      <w:pPr>
        <w:spacing w:after="120" w:before="0"/>
      </w:pPr>
      <w:r>
        <w:rPr>
          <w:color w:val="1B2A4E"/>
          <w:sz w:val="20"/>
          <w:szCs w:val="20"/>
        </w:rPr>
        <w:t xml:space="preserve">The client journey is the default page. There is no password to remember and no account to create — identity is proved against Ashika’s own client master.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1</w:t>
            </w:r>
          </w:p>
        </w:tc>
        <w:tc>
          <w:tcPr>
            <w:tcW w:type="dxa" w:w="87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The client enters whichever they have: Client Code (UCC), registered mobile number, or registered email address.</w:t>
            </w:r>
          </w:p>
        </w:tc>
      </w:tr>
      <w:tr>
        <w:tc>
          <w:tcPr>
            <w:tcW w:type="dxa" w:w="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2</w:t>
            </w:r>
          </w:p>
        </w:tc>
        <w:tc>
          <w:tcPr>
            <w:tcW w:type="dxa" w:w="87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A 6-digit code is sent to the email AND mobile ON FILE — never to whatever was typed into the form. Typing one identifier can therefore never redirect the code somewhere else.</w:t>
            </w:r>
          </w:p>
        </w:tc>
      </w:tr>
      <w:tr>
        <w:tc>
          <w:tcPr>
            <w:tcW w:type="dxa" w:w="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3</w:t>
            </w:r>
          </w:p>
        </w:tc>
        <w:tc>
          <w:tcPr>
            <w:tcW w:type="dxa" w:w="87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If the identifier matches no active account, the page says so plainly rather than pretending to send a code. (This is a setting; see section 7.)</w:t>
            </w:r>
          </w:p>
        </w:tc>
      </w:tr>
      <w:tr>
        <w:tc>
          <w:tcPr>
            <w:tcW w:type="dxa" w:w="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4</w:t>
            </w:r>
          </w:p>
        </w:tc>
        <w:tc>
          <w:tcPr>
            <w:tcW w:type="dxa" w:w="87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Once the code is verified — and only then — if several accounts share that mobile and email, the client picks one. The session then belongs to that single UCC.</w:t>
            </w:r>
          </w:p>
        </w:tc>
      </w:tr>
      <w:tr>
        <w:tc>
          <w:tcPr>
            <w:tcW w:type="dxa" w:w="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5</w:t>
            </w:r>
          </w:p>
        </w:tc>
        <w:tc>
          <w:tcPr>
            <w:tcW w:type="dxa" w:w="87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The client sees the open issues, their own bids and their own allotments.</w:t>
            </w:r>
          </w:p>
        </w:tc>
      </w:tr>
    </w:tbl>
    <w:p>
      <w:pPr>
        <w:spacing w:after="120"/>
      </w:pPr>
      <w:r>
        <w:rPr>
          <w:sz w:val="2"/>
          <w:szCs w:val="2"/>
        </w:rPr>
        <w:t xml:space="preserve"/>
      </w:r>
    </w:p>
    <w:p>
      <w:pPr>
        <w:spacing w:after="120" w:before="0"/>
      </w:pPr>
      <w:r>
        <w:rPr>
          <w:b/>
          <w:bCs/>
          <w:color w:val="B45309"/>
          <w:sz w:val="20"/>
          <w:szCs w:val="20"/>
        </w:rPr>
        <w:t xml:space="preserve">Currently in test mode. </w:t>
      </w:r>
      <w:r>
        <w:rPr>
          <w:color w:val="1B2A4E"/>
          <w:sz w:val="20"/>
          <w:szCs w:val="20"/>
        </w:rPr>
        <w:t xml:space="preserve">No real email or SMS is sent and the code is 123456, shown on screen. This is refused outright when the application is set to production, whatever the flag says — so it cannot be left on by accident at go-live.</w:t>
      </w:r>
    </w:p>
    <w:p>
      <w:pPr>
        <w:pStyle w:val="Heading1"/>
        <w:spacing w:after="160" w:before="360"/>
      </w:pPr>
      <w:r>
        <w:rPr>
          <w:b/>
          <w:bCs/>
          <w:color w:val="243F8E"/>
          <w:sz w:val="28"/>
          <w:szCs w:val="28"/>
        </w:rPr>
        <w:t xml:space="preserve">3.  What is built</w:t>
      </w:r>
    </w:p>
    <w:p>
      <w:pPr>
        <w:pStyle w:val="Heading2"/>
        <w:spacing w:after="120" w:before="260"/>
      </w:pPr>
      <w:r>
        <w:rPr>
          <w:b/>
          <w:bCs/>
          <w:color w:val="243F8E"/>
          <w:sz w:val="23"/>
          <w:szCs w:val="23"/>
        </w:rPr>
        <w:t xml:space="preserve">3.1  OFS BackOffice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Area</w:t>
            </w:r>
          </w:p>
        </w:tc>
        <w:tc>
          <w:tcPr>
            <w:tcW w:type="dxa" w:w="67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What it does</w:t>
            </w:r>
          </w:p>
        </w:tc>
      </w:tr>
      <w:tr>
        <w:tc>
          <w:tcPr>
            <w:tcW w:type="dxa" w:w="2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Dashboard</w:t>
            </w:r>
          </w:p>
        </w:tc>
        <w:tc>
          <w:tcPr>
            <w:tcW w:type="dxa" w:w="67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Every open issue with floor price, cut-off, both windows, discount and live status, plus a countdown to close. Bids, quantity, value, Retail/HNI split and subscription ×, refreshed every few seconds.</w:t>
            </w:r>
          </w:p>
        </w:tc>
      </w:tr>
      <w:tr>
        <w:tc>
          <w:tcPr>
            <w:tcW w:type="dxa" w:w="2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Bid book</w:t>
            </w:r>
          </w:p>
        </w:tc>
        <w:tc>
          <w:tcPr>
            <w:tcW w:type="dxa" w:w="67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Every bid, filterable and searchable, with the reason a bid was rejected named in plain English — below floor, over the ₹2 lakh retail cap, under the HNI minimum, wrong tick or lot, margin short, duplicate.</w:t>
            </w:r>
          </w:p>
        </w:tc>
      </w:tr>
      <w:tr>
        <w:tc>
          <w:tcPr>
            <w:tcW w:type="dxa" w:w="2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Place bid</w:t>
            </w:r>
          </w:p>
        </w:tc>
        <w:tc>
          <w:tcPr>
            <w:tcW w:type="dxa" w:w="67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Place, modify and cancel on behalf of a client, with every rule checked on the server, not only in the browser.</w:t>
            </w:r>
          </w:p>
        </w:tc>
      </w:tr>
      <w:tr>
        <w:tc>
          <w:tcPr>
            <w:tcW w:type="dxa" w:w="2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Exchange files</w:t>
            </w:r>
          </w:p>
        </w:tc>
        <w:tc>
          <w:tcPr>
            <w:tcW w:type="dxa" w:w="67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NSE and BSE bid files in their native formats, previewed before download, split into parts where BSE’s 100-record limit requires it, and every file logged with a SHA-256 checksum.</w:t>
            </w:r>
          </w:p>
        </w:tc>
      </w:tr>
      <w:tr>
        <w:tc>
          <w:tcPr>
            <w:tcW w:type="dxa" w:w="2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Allotment</w:t>
            </w:r>
          </w:p>
        </w:tc>
        <w:tc>
          <w:tcPr>
            <w:tcW w:type="dxa" w:w="67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Import the exchange allotment file, compute allotment per client, and email allotted clients through the shared, logged mail service.</w:t>
            </w:r>
          </w:p>
        </w:tc>
      </w:tr>
      <w:tr>
        <w:tc>
          <w:tcPr>
            <w:tcW w:type="dxa" w:w="2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Masters</w:t>
            </w:r>
          </w:p>
        </w:tc>
        <w:tc>
          <w:tcPr>
            <w:tcW w:type="dxa" w:w="67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Issues, margins and settings — all editable by the desk, no DBA required.</w:t>
            </w:r>
          </w:p>
        </w:tc>
      </w:tr>
      <w:tr>
        <w:tc>
          <w:tcPr>
            <w:tcW w:type="dxa" w:w="2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Archive</w:t>
            </w:r>
          </w:p>
        </w:tc>
        <w:tc>
          <w:tcPr>
            <w:tcW w:type="dxa" w:w="67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A closed issue is archived automatically with its full history intact. Nothing is deleted: bids, generated files, allotments and the audit trail stay attached and can be reopened or restored.</w:t>
            </w:r>
          </w:p>
        </w:tc>
      </w:tr>
      <w:tr>
        <w:tc>
          <w:tcPr>
            <w:tcW w:type="dxa" w:w="2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Audit</w:t>
            </w:r>
          </w:p>
        </w:tc>
        <w:tc>
          <w:tcPr>
            <w:tcW w:type="dxa" w:w="67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Every write, filterable by area, by person, by date, and by whether a bid came from the client, their AP or the back office. Exportable to CSV. Nothing in it can be edited or deleted.</w:t>
            </w:r>
          </w:p>
        </w:tc>
      </w:tr>
      <w:tr>
        <w:tc>
          <w:tcPr>
            <w:tcW w:type="dxa" w:w="26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Circulars</w:t>
            </w:r>
          </w:p>
        </w:tc>
        <w:tc>
          <w:tcPr>
            <w:tcW w:type="dxa" w:w="67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NSE publishes a circular for every OFS; the module watches their public feed and flags new announcements, with an optional email alert.</w:t>
            </w:r>
          </w:p>
        </w:tc>
      </w:tr>
      <w:tr>
        <w:tc>
          <w:tcPr>
            <w:tcW w:type="dxa" w:w="26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Documents</w:t>
            </w:r>
          </w:p>
        </w:tc>
        <w:tc>
          <w:tcPr>
            <w:tcW w:type="dxa" w:w="67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The circular or member notice that created an issue is attached to that issue — as a link or an uploaded PDF — so the justification for a floor price is one click away years later.</w:t>
            </w:r>
          </w:p>
        </w:tc>
      </w:tr>
    </w:tbl>
    <w:p>
      <w:pPr>
        <w:pStyle w:val="Heading2"/>
        <w:spacing w:after="120" w:before="260"/>
      </w:pPr>
      <w:r>
        <w:rPr>
          <w:b/>
          <w:bCs/>
          <w:color w:val="243F8E"/>
          <w:sz w:val="23"/>
          <w:szCs w:val="23"/>
        </w:rPr>
        <w:t xml:space="preserve">3.2  Client</w:t>
      </w:r>
    </w:p>
    <w:p>
      <w:pPr>
        <w:pStyle w:val="ListParagraph"/>
        <w:numPr>
          <w:ilvl w:val="0"/>
          <w:numId w:val="2"/>
        </w:numPr>
        <w:spacing w:after="70"/>
      </w:pPr>
      <w:r>
        <w:rPr>
          <w:color w:val="1B2A4E"/>
          <w:sz w:val="20"/>
          <w:szCs w:val="20"/>
        </w:rPr>
        <w:t xml:space="preserve">Sign in by Client Code, mobile or email, with a one-time code to both channels on file.</w:t>
      </w:r>
    </w:p>
    <w:p>
      <w:pPr>
        <w:pStyle w:val="ListParagraph"/>
        <w:numPr>
          <w:ilvl w:val="0"/>
          <w:numId w:val="2"/>
        </w:numPr>
        <w:spacing w:after="70"/>
      </w:pPr>
      <w:r>
        <w:rPr>
          <w:color w:val="1B2A4E"/>
          <w:sz w:val="20"/>
          <w:szCs w:val="20"/>
        </w:rPr>
        <w:t xml:space="preserve">Pick between several accounts that share a mobile and email — only after the code is verified.</w:t>
      </w:r>
    </w:p>
    <w:p>
      <w:pPr>
        <w:pStyle w:val="ListParagraph"/>
        <w:numPr>
          <w:ilvl w:val="0"/>
          <w:numId w:val="2"/>
        </w:numPr>
        <w:spacing w:after="70"/>
      </w:pPr>
      <w:r>
        <w:rPr>
          <w:color w:val="1B2A4E"/>
          <w:sz w:val="20"/>
          <w:szCs w:val="20"/>
        </w:rPr>
        <w:t xml:space="preserve">See open issues with floor price, cut-off, windows and time remaining.</w:t>
      </w:r>
    </w:p>
    <w:p>
      <w:pPr>
        <w:pStyle w:val="ListParagraph"/>
        <w:numPr>
          <w:ilvl w:val="0"/>
          <w:numId w:val="2"/>
        </w:numPr>
        <w:spacing w:after="70"/>
      </w:pPr>
      <w:r>
        <w:rPr>
          <w:color w:val="1B2A4E"/>
          <w:sz w:val="20"/>
          <w:szCs w:val="20"/>
        </w:rPr>
        <w:t xml:space="preserve">See their own bids and their own allotments.</w:t>
      </w:r>
    </w:p>
    <w:p>
      <w:pPr>
        <w:spacing w:after="80"/>
      </w:pPr>
      <w:r>
        <w:rPr>
          <w:sz w:val="2"/>
          <w:szCs w:val="2"/>
        </w:rPr>
        <w:t xml:space="preserve"/>
      </w:r>
    </w:p>
    <w:p>
      <w:pPr>
        <w:spacing w:after="120" w:before="0"/>
      </w:pPr>
      <w:r>
        <w:rPr>
          <w:color w:val="6B7F9E"/>
          <w:sz w:val="18"/>
          <w:szCs w:val="18"/>
        </w:rPr>
        <w:t xml:space="preserve">Placing a bid from the client screen is Phase 2 and is held pending Ashika’s answer on client authorisation — see section 6.</w:t>
      </w:r>
    </w:p>
    <w:p>
      <w:pPr>
        <w:pStyle w:val="Heading2"/>
        <w:spacing w:after="120" w:before="260"/>
      </w:pPr>
      <w:r>
        <w:rPr>
          <w:b/>
          <w:bCs/>
          <w:color w:val="243F8E"/>
          <w:sz w:val="23"/>
          <w:szCs w:val="23"/>
        </w:rPr>
        <w:t xml:space="preserve">3.3  Rules the module enforces</w:t>
      </w:r>
    </w:p>
    <w:p>
      <w:pPr>
        <w:pStyle w:val="ListParagraph"/>
        <w:numPr>
          <w:ilvl w:val="0"/>
          <w:numId w:val="2"/>
        </w:numPr>
        <w:spacing w:after="70"/>
      </w:pPr>
      <w:r>
        <w:rPr>
          <w:color w:val="1B2A4E"/>
          <w:sz w:val="20"/>
          <w:szCs w:val="20"/>
        </w:rPr>
        <w:t xml:space="preserve">T-day is Non-Retail (HNI); T+1 is Retail. Each has its own window per scrip.</w:t>
      </w:r>
    </w:p>
    <w:p>
      <w:pPr>
        <w:pStyle w:val="ListParagraph"/>
        <w:numPr>
          <w:ilvl w:val="0"/>
          <w:numId w:val="2"/>
        </w:numPr>
        <w:spacing w:after="70"/>
      </w:pPr>
      <w:r>
        <w:rPr>
          <w:color w:val="1B2A4E"/>
          <w:sz w:val="20"/>
          <w:szCs w:val="20"/>
        </w:rPr>
        <w:t xml:space="preserve">Floor price gates Non-Retail bids. Retail bids at cut-off, or at a price at or above the cut-off minimum.</w:t>
      </w:r>
    </w:p>
    <w:p>
      <w:pPr>
        <w:pStyle w:val="ListParagraph"/>
        <w:numPr>
          <w:ilvl w:val="0"/>
          <w:numId w:val="2"/>
        </w:numPr>
        <w:spacing w:after="70"/>
      </w:pPr>
      <w:r>
        <w:rPr>
          <w:color w:val="1B2A4E"/>
          <w:sz w:val="20"/>
          <w:szCs w:val="20"/>
        </w:rPr>
        <w:t xml:space="preserve">Retail application capped at ₹2 lakh; HNI subject to the ₹2 lakh minimum. Both are desk-configurable.</w:t>
      </w:r>
    </w:p>
    <w:p>
      <w:pPr>
        <w:pStyle w:val="ListParagraph"/>
        <w:numPr>
          <w:ilvl w:val="0"/>
          <w:numId w:val="2"/>
        </w:numPr>
        <w:spacing w:after="70"/>
      </w:pPr>
      <w:r>
        <w:rPr>
          <w:color w:val="1B2A4E"/>
          <w:sz w:val="20"/>
          <w:szCs w:val="20"/>
        </w:rPr>
        <w:t xml:space="preserve">One live bid per scrip per client — a second is a modification, not a new bid.</w:t>
      </w:r>
    </w:p>
    <w:p>
      <w:pPr>
        <w:pStyle w:val="ListParagraph"/>
        <w:numPr>
          <w:ilvl w:val="0"/>
          <w:numId w:val="2"/>
        </w:numPr>
        <w:spacing w:after="70"/>
      </w:pPr>
      <w:r>
        <w:rPr>
          <w:color w:val="1B2A4E"/>
          <w:sz w:val="20"/>
          <w:szCs w:val="20"/>
        </w:rPr>
        <w:t xml:space="preserve">Tick size and lot size enforced.</w:t>
      </w:r>
    </w:p>
    <w:p>
      <w:pPr>
        <w:pStyle w:val="ListParagraph"/>
        <w:numPr>
          <w:ilvl w:val="0"/>
          <w:numId w:val="2"/>
        </w:numPr>
        <w:spacing w:after="70"/>
      </w:pPr>
      <w:r>
        <w:rPr>
          <w:color w:val="1B2A4E"/>
          <w:sz w:val="20"/>
          <w:szCs w:val="20"/>
        </w:rPr>
        <w:t xml:space="preserve">A bid may only be placed while the market is open, and the desk cut-off OVERRIDES the session end: a cut-off of 15:15 stops bidding at 15:15 even though the market runs to 15:30. Modification and cancellation stop at the same moment.</w:t>
      </w:r>
    </w:p>
    <w:p>
      <w:pPr>
        <w:pStyle w:val="ListParagraph"/>
        <w:numPr>
          <w:ilvl w:val="0"/>
          <w:numId w:val="2"/>
        </w:numPr>
        <w:spacing w:after="70"/>
      </w:pPr>
      <w:r>
        <w:rPr>
          <w:color w:val="1B2A4E"/>
          <w:sz w:val="20"/>
          <w:szCs w:val="20"/>
        </w:rPr>
        <w:t xml:space="preserve">Trading days and trading holidays are desk-configurable; everything is compared in IST regardless of where the server runs.</w:t>
      </w:r>
    </w:p>
    <w:p>
      <w:pPr>
        <w:pStyle w:val="ListParagraph"/>
        <w:numPr>
          <w:ilvl w:val="0"/>
          <w:numId w:val="2"/>
        </w:numPr>
        <w:spacing w:after="70"/>
      </w:pPr>
      <w:r>
        <w:rPr>
          <w:color w:val="1B2A4E"/>
          <w:sz w:val="20"/>
          <w:szCs w:val="20"/>
        </w:rPr>
        <w:t xml:space="preserve">Client PII (PAN, mobile, email) is masked everywhere unless the role explicitly carries the unmask grant.</w:t>
      </w:r>
    </w:p>
    <w:p>
      <w:pPr>
        <w:pStyle w:val="Heading1"/>
        <w:spacing w:after="160" w:before="360"/>
      </w:pPr>
      <w:r>
        <w:rPr>
          <w:b/>
          <w:bCs/>
          <w:color w:val="243F8E"/>
          <w:sz w:val="28"/>
          <w:szCs w:val="28"/>
        </w:rPr>
        <w:t xml:space="preserve">4.  How the module gets its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Data</w:t>
            </w:r>
          </w:p>
        </w:tc>
        <w:tc>
          <w:tcPr>
            <w:tcW w:type="dxa" w:w="69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Where it comes from</w:t>
            </w:r>
          </w:p>
        </w:tc>
      </w:tr>
      <w:tr>
        <w:tc>
          <w:tcPr>
            <w:tcW w:type="dxa" w:w="2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Client master</w:t>
            </w:r>
          </w:p>
        </w:tc>
        <w:tc>
          <w:tcPr>
            <w:tcW w:type="dxa" w:w="69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Read live from LD on every request. Never copied into the OFS database — only the UCC is stored as a reference. 36,663 active clients of 136,129 are eligible to bid.</w:t>
            </w:r>
          </w:p>
        </w:tc>
      </w:tr>
      <w:tr>
        <w:tc>
          <w:tcPr>
            <w:tcW w:type="dxa" w:w="2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Issue master</w:t>
            </w:r>
          </w:p>
        </w:tc>
        <w:tc>
          <w:tcPr>
            <w:tcW w:type="dxa" w:w="69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Three routes: the NSE circular watch flags new announcements; a CSV import from the T-2/T-1 member notice loads them; or the desk enters one by hand. The 2026 calendar (27 issues, January to August) has been loaded as history.</w:t>
            </w:r>
          </w:p>
        </w:tc>
      </w:tr>
      <w:tr>
        <w:tc>
          <w:tcPr>
            <w:tcW w:type="dxa" w:w="2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Margins</w:t>
            </w:r>
          </w:p>
        </w:tc>
        <w:tc>
          <w:tcPr>
            <w:tcW w:type="dxa" w:w="69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One record per client, entered on the desk or by CSV. A new figure replaces the old one and the change is kept in full — old value, new value, source, who, when.</w:t>
            </w:r>
          </w:p>
        </w:tc>
      </w:tr>
      <w:tr>
        <w:tc>
          <w:tcPr>
            <w:tcW w:type="dxa" w:w="2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Allotment</w:t>
            </w:r>
          </w:p>
        </w:tc>
        <w:tc>
          <w:tcPr>
            <w:tcW w:type="dxa" w:w="69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Imported from the exchange allotment file after bidding closes.</w:t>
            </w:r>
          </w:p>
        </w:tc>
      </w:tr>
    </w:tbl>
    <w:p>
      <w:pPr>
        <w:pStyle w:val="Heading1"/>
        <w:spacing w:after="160" w:before="360"/>
      </w:pPr>
      <w:r>
        <w:rPr>
          <w:b/>
          <w:bCs/>
          <w:color w:val="243F8E"/>
          <w:sz w:val="28"/>
          <w:szCs w:val="28"/>
        </w:rPr>
        <w:t xml:space="preserve">5.  What is not built, and why</w:t>
      </w:r>
    </w:p>
    <w:p>
      <w:pPr>
        <w:spacing w:after="120" w:before="0"/>
      </w:pPr>
      <w:r>
        <w:rPr>
          <w:color w:val="1B2A4E"/>
          <w:sz w:val="20"/>
          <w:szCs w:val="20"/>
        </w:rPr>
        <w:t xml:space="preserve">Nothing in this list is blocked on development capacity. Three of the four are waiting on a document or a decision that only Ashika can supply.</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460"/>
      </w:tblGrid>
      <w:tr>
        <w:trPr>
          <w:tblHeader/>
        </w:trPr>
        <w:tc>
          <w:tcPr>
            <w:tcW w:type="dxa" w:w="25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Item</w:t>
            </w:r>
          </w:p>
        </w:tc>
        <w:tc>
          <w:tcPr>
            <w:tcW w:type="dxa" w:w="44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Where it stands</w:t>
            </w:r>
          </w:p>
        </w:tc>
        <w:tc>
          <w:tcPr>
            <w:tcW w:type="dxa" w:w="24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What unblocks it</w:t>
            </w:r>
          </w:p>
        </w:tc>
      </w:tr>
      <w:tr>
        <w:tc>
          <w:tcPr>
            <w:tcW w:type="dxa" w:w="25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NSE bid-file column layout</w:t>
            </w:r>
          </w:p>
        </w:tc>
        <w:tc>
          <w:tcPr>
            <w:tcW w:type="dxa" w:w="4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The file is generated, but the exact column order is taken from public description rather than the member circular. Column order must match byte-for-byte.</w:t>
            </w:r>
          </w:p>
        </w:tc>
        <w:tc>
          <w:tcPr>
            <w:tcW w:type="dxa" w:w="24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Needs NSE/CMTR/72975 (24 Feb 2026) from the NSE member portal.</w:t>
            </w:r>
          </w:p>
        </w:tc>
      </w:tr>
      <w:tr>
        <w:tc>
          <w:tcPr>
            <w:tcW w:type="dxa" w:w="25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BSE allotment file layout</w:t>
            </w:r>
          </w:p>
        </w:tc>
        <w:tc>
          <w:tcPr>
            <w:tcW w:type="dxa" w:w="4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The import reads a sensible CSV; BSE Notice 20130129-23 defines the real one.</w:t>
            </w:r>
          </w:p>
        </w:tc>
        <w:tc>
          <w:tcPr>
            <w:tcW w:type="dxa" w:w="24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Needs that notice from the BSE member portal.</w:t>
            </w:r>
          </w:p>
        </w:tc>
      </w:tr>
      <w:tr>
        <w:tc>
          <w:tcPr>
            <w:tcW w:type="dxa" w:w="25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Live RMS margin</w:t>
            </w:r>
          </w:p>
        </w:tc>
        <w:tc>
          <w:tcPr>
            <w:tcW w:type="dxa" w:w="4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Margins are entered on the desk or by CSV. A live read and an earmark against a bid need an API.</w:t>
            </w:r>
          </w:p>
        </w:tc>
        <w:tc>
          <w:tcPr>
            <w:tcW w:type="dxa" w:w="24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Needs confirmation of whether a callable RMS margin API exists.</w:t>
            </w:r>
          </w:p>
        </w:tc>
      </w:tr>
      <w:tr>
        <w:tc>
          <w:tcPr>
            <w:tcW w:type="dxa" w:w="25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Client and AP bid placement</w:t>
            </w:r>
          </w:p>
        </w:tc>
        <w:tc>
          <w:tcPr>
            <w:tcW w:type="dxa" w:w="4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Client sign-in and read-only views are built. Bid placement from the client screen, and the AP journey, are not.</w:t>
            </w:r>
          </w:p>
        </w:tc>
        <w:tc>
          <w:tcPr>
            <w:tcW w:type="dxa" w:w="24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Needs the client-authorisation model and the AP→client mapping rule.</w:t>
            </w:r>
          </w:p>
        </w:tc>
      </w:tr>
      <w:tr>
        <w:tc>
          <w:tcPr>
            <w:tcW w:type="dxa" w:w="25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Indicative price</w:t>
            </w:r>
          </w:p>
        </w:tc>
        <w:tc>
          <w:tcPr>
            <w:tcW w:type="dxa" w:w="44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The exchange publishes it on the member terminal only, so the desk enters it by hand.</w:t>
            </w:r>
          </w:p>
        </w:tc>
        <w:tc>
          <w:tcPr>
            <w:tcW w:type="dxa" w:w="24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Resolves once the e-OFS Web API is enabled — or stays manual.</w:t>
            </w:r>
          </w:p>
        </w:tc>
      </w:tr>
      <w:tr>
        <w:tc>
          <w:tcPr>
            <w:tcW w:type="dxa" w:w="25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ISINs for seeded history</w:t>
            </w:r>
          </w:p>
        </w:tc>
        <w:tc>
          <w:tcPr>
            <w:tcW w:type="dxa" w:w="44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21 of the 27 seeded 2026 issues carry a placeholder ISIN. The module refuses to generate an exchange file for any issue whose ISIN is not a real ISIN.</w:t>
            </w:r>
          </w:p>
        </w:tc>
        <w:tc>
          <w:tcPr>
            <w:tcW w:type="dxa" w:w="24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Only affects the historical seed. Real issues carry real ISINs.</w:t>
            </w:r>
          </w:p>
        </w:tc>
      </w:tr>
    </w:tbl>
    <w:p>
      <w:pPr>
        <w:pStyle w:val="Heading1"/>
        <w:spacing w:after="160" w:before="360"/>
      </w:pPr>
      <w:r>
        <w:rPr>
          <w:b/>
          <w:bCs/>
          <w:color w:val="243F8E"/>
          <w:sz w:val="28"/>
          <w:szCs w:val="28"/>
        </w:rPr>
        <w:t xml:space="preserve">6.  What we need from Ashika,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560"/>
      </w:tblGrid>
      <w:tr>
        <w:trPr>
          <w:tblHeader/>
        </w:trPr>
        <w:tc>
          <w:tcPr>
            <w:tcW w:type="dxa" w:w="5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t>
            </w:r>
          </w:p>
        </w:tc>
        <w:tc>
          <w:tcPr>
            <w:tcW w:type="dxa" w:w="53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What is needed</w:t>
            </w:r>
          </w:p>
        </w:tc>
        <w:tc>
          <w:tcPr>
            <w:tcW w:type="dxa" w:w="35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Why it matters</w:t>
            </w:r>
          </w:p>
        </w:tc>
      </w:tr>
      <w:tr>
        <w:tc>
          <w:tcPr>
            <w:tcW w:type="dxa" w:w="5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1</w:t>
            </w:r>
          </w:p>
        </w:tc>
        <w:tc>
          <w:tcPr>
            <w:tcW w:type="dxa" w:w="53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Raise the ENIT request for e-OFS Admin creation with NSE Member Service Department (msm@nse.co.in), then enable API users at ENIT → Membership → Enablement → eOFS.</w:t>
            </w:r>
          </w:p>
        </w:tc>
        <w:tc>
          <w:tcPr>
            <w:tcW w:type="dxa" w:w="35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Unlocks the whole NSE half: the issue master arrives automatically and bids can go straight through. No licence fee is published.</w:t>
            </w:r>
          </w:p>
        </w:tc>
      </w:tr>
      <w:tr>
        <w:tc>
          <w:tcPr>
            <w:tcW w:type="dxa" w:w="5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2</w:t>
            </w:r>
          </w:p>
        </w:tc>
        <w:tc>
          <w:tcPr>
            <w:tcW w:type="dxa" w:w="53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Obtain circular NSE/CMTR/72975 (24 Feb 2026).</w:t>
            </w:r>
          </w:p>
        </w:tc>
        <w:tc>
          <w:tcPr>
            <w:tcW w:type="dxa" w:w="35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Pins the NSE bid-file layout. Needed before the first live NSE upload.</w:t>
            </w:r>
          </w:p>
        </w:tc>
      </w:tr>
      <w:tr>
        <w:tc>
          <w:tcPr>
            <w:tcW w:type="dxa" w:w="5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3</w:t>
            </w:r>
          </w:p>
        </w:tc>
        <w:tc>
          <w:tcPr>
            <w:tcW w:type="dxa" w:w="53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Obtain BSE Notice 20130129-23 (allotment file) and 20240701-19 (current OFS guidelines).</w:t>
            </w:r>
          </w:p>
        </w:tc>
        <w:tc>
          <w:tcPr>
            <w:tcW w:type="dxa" w:w="35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Needed before the first live allotment run.</w:t>
            </w:r>
          </w:p>
        </w:tc>
      </w:tr>
      <w:tr>
        <w:tc>
          <w:tcPr>
            <w:tcW w:type="dxa" w:w="5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4</w:t>
            </w:r>
          </w:p>
        </w:tc>
        <w:tc>
          <w:tcPr>
            <w:tcW w:type="dxa" w:w="53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Confirm whether a callable RMS API exists for available margin, and Ashika’s OFS margin rules.</w:t>
            </w:r>
          </w:p>
        </w:tc>
        <w:tc>
          <w:tcPr>
            <w:tcW w:type="dxa" w:w="35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Turns the margin gate from manual to live.</w:t>
            </w:r>
          </w:p>
        </w:tc>
      </w:tr>
      <w:tr>
        <w:tc>
          <w:tcPr>
            <w:tcW w:type="dxa" w:w="5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5</w:t>
            </w:r>
          </w:p>
        </w:tc>
        <w:tc>
          <w:tcPr>
            <w:tcW w:type="dxa" w:w="53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Decide the client authorisation model: consent/POA, whether OTP at bid time is mandatory, and whether the client must see the live indicative price.</w:t>
            </w:r>
          </w:p>
        </w:tc>
        <w:tc>
          <w:tcPr>
            <w:tcW w:type="dxa" w:w="35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Defines Phase 2 entirely.</w:t>
            </w:r>
          </w:p>
        </w:tc>
      </w:tr>
      <w:tr>
        <w:tc>
          <w:tcPr>
            <w:tcW w:type="dxa" w:w="5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6</w:t>
            </w:r>
          </w:p>
        </w:tc>
        <w:tc>
          <w:tcPr>
            <w:tcW w:type="dxa" w:w="53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Confirm the AP→client mapping source, and whether APs place bids or only view.</w:t>
            </w:r>
          </w:p>
        </w:tc>
        <w:tc>
          <w:tcPr>
            <w:tcW w:type="dxa" w:w="35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Defines the AP journey.</w:t>
            </w:r>
          </w:p>
        </w:tc>
      </w:tr>
      <w:tr>
        <w:tc>
          <w:tcPr>
            <w:tcW w:type="dxa" w:w="5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7</w:t>
            </w:r>
          </w:p>
        </w:tc>
        <w:tc>
          <w:tcPr>
            <w:tcW w:type="dxa" w:w="53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Confirm the go-live mailbox and SMS gateway for one-time codes.</w:t>
            </w:r>
          </w:p>
        </w:tc>
        <w:tc>
          <w:tcPr>
            <w:tcW w:type="dxa" w:w="35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Test mode must be switched off before go-live.</w:t>
            </w:r>
          </w:p>
        </w:tc>
      </w:tr>
    </w:tbl>
    <w:p>
      <w:pPr>
        <w:pStyle w:val="Heading1"/>
        <w:spacing w:after="160" w:before="360"/>
      </w:pPr>
      <w:r>
        <w:rPr>
          <w:b/>
          <w:bCs/>
          <w:color w:val="243F8E"/>
          <w:sz w:val="28"/>
          <w:szCs w:val="28"/>
        </w:rPr>
        <w:t xml:space="preserve">7.  Decisions taken — please confirm</w:t>
      </w:r>
    </w:p>
    <w:p>
      <w:pPr>
        <w:spacing w:after="120" w:before="0"/>
      </w:pPr>
      <w:r>
        <w:rPr>
          <w:color w:val="1B2A4E"/>
          <w:sz w:val="20"/>
          <w:szCs w:val="20"/>
        </w:rPr>
        <w:t xml:space="preserve">Two behaviours are deliberate choices rather than technical defaults. Both are switchable. We would like Ashika to confirm each in writing.</w:t>
      </w:r>
    </w:p>
    <w:p>
      <w:pPr>
        <w:pStyle w:val="Heading3"/>
        <w:spacing w:after="90" w:before="200"/>
      </w:pPr>
      <w:r>
        <w:rPr>
          <w:b/>
          <w:bCs/>
          <w:color w:val="1B2A4E"/>
          <w:sz w:val="21"/>
          <w:szCs w:val="21"/>
        </w:rPr>
        <w:t xml:space="preserve">7.1  Several accounts on one mobile or email</w:t>
      </w:r>
    </w:p>
    <w:p>
      <w:pPr>
        <w:spacing w:after="120" w:before="0"/>
      </w:pPr>
      <w:r>
        <w:rPr>
          <w:color w:val="1B2A4E"/>
          <w:sz w:val="20"/>
          <w:szCs w:val="20"/>
        </w:rPr>
        <w:t xml:space="preserve">Families and HUFs commonly share a mobile number and an email address across several UCCs. Today, a client who verifies the one-time code sent to those shared contacts may select any UCC on that pair and bid for it. In practice this means anyone who can read those messages can bid for every account sharing them.</w:t>
      </w:r>
    </w:p>
    <w:p>
      <w:pPr>
        <w:spacing w:after="120" w:before="0"/>
      </w:pPr>
      <w:r>
        <w:rPr>
          <w:color w:val="1B2A4E"/>
          <w:sz w:val="20"/>
          <w:szCs w:val="20"/>
        </w:rPr>
        <w:t xml:space="preserve">Two things make this defensible: every bid records the UCC it was placed for and whether it came from the client, an AP or the back office; and a session binds to exactly one UCC, so a bid can never be attributed to the wrong client by accident.</w:t>
      </w:r>
    </w:p>
    <w:p>
      <w:pPr>
        <w:spacing w:after="120" w:before="0"/>
      </w:pPr>
      <w:r>
        <w:rPr>
          <w:b/>
          <w:bCs/>
          <w:color w:val="1B2A4E"/>
          <w:sz w:val="20"/>
          <w:szCs w:val="20"/>
        </w:rPr>
        <w:t xml:space="preserve">If Ashika wants this tightened</w:t>
      </w:r>
      <w:r>
        <w:rPr>
          <w:color w:val="1B2A4E"/>
          <w:sz w:val="20"/>
          <w:szCs w:val="20"/>
        </w:rPr>
        <w:t xml:space="preserve">, the smallest change is to require a per-UCC authorisation flag from LD before that UCC appears in the chooser.</w:t>
      </w:r>
    </w:p>
    <w:p>
      <w:pPr>
        <w:pStyle w:val="Heading3"/>
        <w:spacing w:after="90" w:before="200"/>
      </w:pPr>
      <w:r>
        <w:rPr>
          <w:b/>
          <w:bCs/>
          <w:color w:val="1B2A4E"/>
          <w:sz w:val="21"/>
          <w:szCs w:val="21"/>
        </w:rPr>
        <w:t xml:space="preserve">7.2  What the sign-in page says when nothing matches</w:t>
      </w:r>
    </w:p>
    <w:p>
      <w:pPr>
        <w:spacing w:after="120" w:before="0"/>
      </w:pPr>
      <w:r>
        <w:rPr>
          <w:color w:val="1B2A4E"/>
          <w:sz w:val="20"/>
          <w:szCs w:val="20"/>
        </w:rPr>
        <w:t xml:space="preserve">The client sign-in page currently says "No active Ashika account found for that client code" rather than advancing to the code step. This is kinder, and it stops the desk fielding "I never got my OTP" calls from clients who mistyped.</w:t>
      </w:r>
    </w:p>
    <w:p>
      <w:pPr>
        <w:spacing w:after="120" w:before="0"/>
      </w:pPr>
      <w:r>
        <w:rPr>
          <w:color w:val="1B2A4E"/>
          <w:sz w:val="20"/>
          <w:szCs w:val="20"/>
        </w:rPr>
        <w:t xml:space="preserve">The trade-off is that the endpoint confirms whether an identifier belongs to an Ashika client. It is kept behind a throttle — 5 attempts per identifier per hour, 20 per IP — which makes bulk enumeration impractical without making a genuine typo painful. A single setting switches it to an identical answer either way.</w:t>
      </w:r>
    </w:p>
    <w:p>
      <w:pPr>
        <w:pStyle w:val="Heading1"/>
        <w:spacing w:after="160" w:before="360"/>
      </w:pPr>
      <w:r>
        <w:rPr>
          <w:b/>
          <w:bCs/>
          <w:color w:val="243F8E"/>
          <w:sz w:val="28"/>
          <w:szCs w:val="28"/>
        </w:rPr>
        <w:t xml:space="preserve">8.  How the exchanges are reached</w:t>
      </w:r>
    </w:p>
    <w:p>
      <w:pPr>
        <w:spacing w:after="120" w:before="0"/>
      </w:pPr>
      <w:r>
        <w:rPr>
          <w:color w:val="1B2A4E"/>
          <w:sz w:val="20"/>
          <w:szCs w:val="20"/>
        </w:rPr>
        <w:t xml:space="preserve">There is exactly one official, licensable, machine-readable OFS interface across both exchanges, and Ashika already qualifies for it at no extra cost.</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Interface</w:t>
            </w:r>
          </w:p>
        </w:tc>
        <w:tc>
          <w:tcPr>
            <w:tcW w:type="dxa" w:w="71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What it provides</w:t>
            </w:r>
          </w:p>
        </w:tc>
      </w:tr>
      <w:tr>
        <w:tc>
          <w:tcPr>
            <w:tcW w:type="dxa" w:w="22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NSE e-OFS Web API</w:t>
            </w:r>
          </w:p>
        </w:tc>
        <w:tc>
          <w:tcPr>
            <w:tcW w:type="dxa" w:w="71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Covers NSE end to end: the issue master (ISIN, tick, lot, floor price, offer size and both windows) and order entry (place, modify, cancel, bulk). Open to any trading member; no separate licence or published fee. Requires an ENIT enablement request.</w:t>
            </w:r>
          </w:p>
        </w:tc>
      </w:tr>
      <w:tr>
        <w:tc>
          <w:tcPr>
            <w:tcW w:type="dxa" w:w="22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BSE iBBS</w:t>
            </w:r>
          </w:p>
        </w:tc>
        <w:tc>
          <w:tcPr>
            <w:tcW w:type="dxa" w:w="71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No API exists. Web bid entry plus bulk upload of up to 100 records per file — which this module already generates, with part-splitting. This is the sanctioned interface, not a workaround.</w:t>
            </w:r>
          </w:p>
        </w:tc>
      </w:tr>
      <w:tr>
        <w:tc>
          <w:tcPr>
            <w:tcW w:type="dxa" w:w="22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NSE circulars feed</w:t>
            </w:r>
          </w:p>
        </w:tc>
        <w:tc>
          <w:tcPr>
            <w:tcW w:type="dxa" w:w="71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A public RSS feed of every NSE circular. A feed is published to be polled, so this is free and licensed. The module watches it and flags "Proposed Offer for Sale by …" announcements.</w:t>
            </w:r>
          </w:p>
        </w:tc>
      </w:tr>
      <w:tr>
        <w:tc>
          <w:tcPr>
            <w:tcW w:type="dxa" w:w="22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Market-data licensing</w:t>
            </w:r>
          </w:p>
        </w:tc>
        <w:tc>
          <w:tcPr>
            <w:tcW w:type="dxa" w:w="71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Neither exchange’s market-data arm carries OFS announcements. Confirmed against both catalogues.</w:t>
            </w:r>
          </w:p>
        </w:tc>
      </w:tr>
    </w:tbl>
    <w:p>
      <w:pPr>
        <w:spacing w:after="140"/>
      </w:pPr>
      <w:r>
        <w:rPr>
          <w:sz w:val="2"/>
          <w:szCs w:val="2"/>
        </w:rPr>
        <w:t xml:space="preserve"/>
      </w:r>
    </w:p>
    <w:p>
      <w:pPr>
        <w:spacing w:after="120" w:before="0"/>
      </w:pPr>
      <w:r>
        <w:rPr>
          <w:b/>
          <w:bCs/>
          <w:color w:val="1B2A4E"/>
          <w:sz w:val="20"/>
          <w:szCs w:val="20"/>
        </w:rPr>
        <w:t xml:space="preserve">Two dead ends, flagged so nobody sells them to you. </w:t>
      </w:r>
      <w:r>
        <w:rPr>
          <w:color w:val="1B2A4E"/>
          <w:sz w:val="20"/>
          <w:szCs w:val="20"/>
        </w:rPr>
        <w:t xml:space="preserve">NOW / NEAT-based OFS connectivity was withdrawn when e-OFS replaced it in February 2020. And the scraped website JSON that several open-source libraries use is unlicensed and breaches the exchanges’ website terms — which is why this module does not scrape, and has web fetching switched off by default.</w:t>
      </w:r>
    </w:p>
    <w:p>
      <w:pPr>
        <w:pStyle w:val="Heading1"/>
        <w:spacing w:after="160" w:before="360"/>
      </w:pPr>
      <w:r>
        <w:rPr>
          <w:b/>
          <w:bCs/>
          <w:color w:val="243F8E"/>
          <w:sz w:val="28"/>
          <w:szCs w:val="28"/>
        </w:rPr>
        <w:t xml:space="preserve">9.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Area</w:t>
            </w:r>
          </w:p>
        </w:tc>
        <w:tc>
          <w:tcPr>
            <w:tcW w:type="dxa" w:w="6360"/>
            <w:tcBorders>
              <w:top w:val="single" w:color="E2ECF2" w:sz="4"/>
              <w:left w:val="single" w:color="E2ECF2" w:sz="4"/>
              <w:bottom w:val="single" w:color="E2ECF2" w:sz="4"/>
              <w:right w:val="single" w:color="E2ECF2" w:sz="4"/>
            </w:tcBorders>
            <w:shd w:fill="243F8E" w:color="auto" w:val="clear"/>
            <w:tcMar>
              <w:top w:type="dxa" w:w="90"/>
              <w:left w:type="dxa" w:w="120"/>
              <w:bottom w:type="dxa" w:w="90"/>
              <w:right w:type="dxa" w:w="120"/>
            </w:tcMar>
          </w:tcPr>
          <w:p>
            <w:pPr>
              <w:spacing w:after="0"/>
            </w:pPr>
            <w:r>
              <w:rPr>
                <w:b/>
                <w:bCs/>
                <w:color w:val="FFFFFF"/>
                <w:sz w:val="17"/>
                <w:szCs w:val="17"/>
              </w:rPr>
              <w:t xml:space="preserve">Position</w:t>
            </w:r>
          </w:p>
        </w:tc>
      </w:tr>
      <w:tr>
        <w:tc>
          <w:tcPr>
            <w:tcW w:type="dxa" w:w="30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Audit</w:t>
            </w:r>
          </w:p>
        </w:tc>
        <w:tc>
          <w:tcPr>
            <w:tcW w:type="dxa" w:w="63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Every write recorded with who, when, from where, and what changed. No edit or delete path exists on the audit table anywhere in the application.</w:t>
            </w:r>
          </w:p>
        </w:tc>
      </w:tr>
      <w:tr>
        <w:tc>
          <w:tcPr>
            <w:tcW w:type="dxa" w:w="30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PII</w:t>
            </w:r>
          </w:p>
        </w:tc>
        <w:tc>
          <w:tcPr>
            <w:tcW w:type="dxa" w:w="63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PAN, mobile and email masked everywhere by default; unmasking is a separate grant, and applies to archived issues too.</w:t>
            </w:r>
          </w:p>
        </w:tc>
      </w:tr>
      <w:tr>
        <w:tc>
          <w:tcPr>
            <w:tcW w:type="dxa" w:w="30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Sessions</w:t>
            </w:r>
          </w:p>
        </w:tc>
        <w:tc>
          <w:tcPr>
            <w:tcW w:type="dxa" w:w="63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One active session per account across both applications; an eight-hour expiry; sign-in throttled per identifier and per IP.</w:t>
            </w:r>
          </w:p>
        </w:tc>
      </w:tr>
      <w:tr>
        <w:tc>
          <w:tcPr>
            <w:tcW w:type="dxa" w:w="30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Exchange files</w:t>
            </w:r>
          </w:p>
        </w:tc>
        <w:tc>
          <w:tcPr>
            <w:tcW w:type="dxa" w:w="63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Every generated file logged with a SHA-256 of the exact bytes, so a file can be proved to be the one that was uploaded.</w:t>
            </w:r>
          </w:p>
        </w:tc>
      </w:tr>
      <w:tr>
        <w:tc>
          <w:tcPr>
            <w:tcW w:type="dxa" w:w="30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Bidding record</w:t>
            </w:r>
          </w:p>
        </w:tc>
        <w:tc>
          <w:tcPr>
            <w:tcW w:type="dxa" w:w="63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Nothing is deleted. A cancelled bid is marked cancelled; an archived issue keeps its bids, files, allotments and audit trail.</w:t>
            </w:r>
          </w:p>
        </w:tc>
      </w:tr>
      <w:tr>
        <w:tc>
          <w:tcPr>
            <w:tcW w:type="dxa" w:w="300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bCs/>
                <w:color w:val="1B2A4E"/>
                <w:sz w:val="17"/>
                <w:szCs w:val="17"/>
              </w:rPr>
              <w:t xml:space="preserve">Transport</w:t>
            </w:r>
          </w:p>
        </w:tc>
        <w:tc>
          <w:tcPr>
            <w:tcW w:type="dxa" w:w="6360"/>
            <w:tcBorders>
              <w:top w:val="single" w:color="E2ECF2" w:sz="4"/>
              <w:left w:val="single" w:color="E2ECF2" w:sz="4"/>
              <w:bottom w:val="single" w:color="E2ECF2" w:sz="4"/>
              <w:right w:val="single" w:color="E2ECF2" w:sz="4"/>
            </w:tcBorders>
            <w:shd w:fill="F5F9FB" w:color="auto" w:val="clear"/>
            <w:tcMar>
              <w:top w:type="dxa" w:w="90"/>
              <w:left w:type="dxa" w:w="120"/>
              <w:bottom w:type="dxa" w:w="90"/>
              <w:right w:type="dxa" w:w="120"/>
            </w:tcMar>
          </w:tcPr>
          <w:p>
            <w:pPr>
              <w:spacing w:after="0"/>
            </w:pPr>
            <w:r>
              <w:rPr>
                <w:b w:val="false"/>
                <w:bCs w:val="false"/>
                <w:color w:val="1B2A4E"/>
                <w:sz w:val="17"/>
                <w:szCs w:val="17"/>
              </w:rPr>
              <w:t xml:space="preserve">HTTPS with automatic renewal; TLS-only session cookie; strict content security policy; database traffic over a private route.</w:t>
            </w:r>
          </w:p>
        </w:tc>
      </w:tr>
      <w:tr>
        <w:tc>
          <w:tcPr>
            <w:tcW w:type="dxa" w:w="300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bCs/>
                <w:color w:val="1B2A4E"/>
                <w:sz w:val="17"/>
                <w:szCs w:val="17"/>
              </w:rPr>
              <w:t xml:space="preserve">Tests</w:t>
            </w:r>
          </w:p>
        </w:tc>
        <w:tc>
          <w:tcPr>
            <w:tcW w:type="dxa" w:w="6360"/>
            <w:tcBorders>
              <w:top w:val="single" w:color="E2ECF2" w:sz="4"/>
              <w:left w:val="single" w:color="E2ECF2" w:sz="4"/>
              <w:bottom w:val="single" w:color="E2ECF2" w:sz="4"/>
              <w:right w:val="single" w:color="E2ECF2" w:sz="4"/>
            </w:tcBorders>
            <w:tcMar>
              <w:top w:type="dxa" w:w="90"/>
              <w:left w:type="dxa" w:w="120"/>
              <w:bottom w:type="dxa" w:w="90"/>
              <w:right w:type="dxa" w:w="120"/>
            </w:tcMar>
          </w:tcPr>
          <w:p>
            <w:pPr>
              <w:spacing w:after="0"/>
            </w:pPr>
            <w:r>
              <w:rPr>
                <w:b w:val="false"/>
                <w:bCs w:val="false"/>
                <w:color w:val="1B2A4E"/>
                <w:sz w:val="17"/>
                <w:szCs w:val="17"/>
              </w:rPr>
              <w:t xml:space="preserve">118 automated tests covering the bidding rules, the exchange file formats, the sign-in primitives, the market-hours gate and the document handling.</w:t>
            </w:r>
          </w:p>
        </w:tc>
      </w:tr>
    </w:tbl>
    <w:p>
      <w:pPr>
        <w:spacing w:after="300"/>
      </w:pPr>
      <w:r>
        <w:rPr>
          <w:sz w:val="2"/>
          <w:szCs w:val="2"/>
        </w:rPr>
        <w:t xml:space="preserve"/>
      </w:r>
    </w:p>
    <w:p>
      <w:pPr>
        <w:pBdr>
          <w:bottom w:val="single" w:color="E2ECF2" w:sz="6"/>
        </w:pBdr>
        <w:spacing w:after="200" w:before="80"/>
      </w:pPr>
      <w:r>
        <w:rPr>
          <w:sz w:val="2"/>
          <w:szCs w:val="2"/>
        </w:rPr>
        <w:t xml:space="preserve"/>
      </w:r>
    </w:p>
    <w:p>
      <w:pPr>
        <w:spacing w:after="120" w:before="0"/>
        <w:jc w:val="center"/>
      </w:pPr>
      <w:r>
        <w:rPr>
          <w:color w:val="6B7F9E"/>
          <w:sz w:val="17"/>
          <w:szCs w:val="17"/>
        </w:rPr>
        <w:t xml:space="preserve">Prepared by NIYTRI Technologies for Ashika Stock Broking Ltd. Questions and sign-off to the project contact.</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F9E"/>
        <w:sz w:val="16"/>
        <w:szCs w:val="16"/>
      </w:rPr>
      <w:t xml:space="preserve">NIYTRI Technologies  ·  2 September 2026  ·  Page </w:t>
    </w:r>
    <w:r>
      <w:rPr>
        <w:color w:val="6B7F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CF2" w:sz="6"/>
      </w:pBdr>
      <w:spacing w:after="0"/>
    </w:pPr>
    <w:r>
      <w:rPr>
        <w:b/>
        <w:bCs/>
        <w:color w:val="243F8E"/>
        <w:sz w:val="16"/>
        <w:szCs w:val="16"/>
      </w:rPr>
      <w:t xml:space="preserve">Ashika OFS Module</w:t>
    </w:r>
    <w:r>
      <w:rPr>
        <w:color w:val="6B7F9E"/>
        <w:sz w:val="16"/>
        <w:szCs w:val="16"/>
      </w:rPr>
      <w:t xml:space="preserve">   ·   Functional status for Ashika Stock Broking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Ashika OFS Module — Functional Status</dc:title>
  <dc:creator>NIYTRI Technologies</dc:creator>
  <dc:description>What is built, how to sign in, and what is outstanding</dc:description>
  <cp:lastModifiedBy>Un-named</cp:lastModifiedBy>
  <cp:revision>1</cp:revision>
  <dcterms:created xsi:type="dcterms:W3CDTF">2026-09-02T12:10:33.309Z</dcterms:created>
  <dcterms:modified xsi:type="dcterms:W3CDTF">2026-09-02T12:10:33.309Z</dcterms:modified>
</cp:coreProperties>
</file>

<file path=docProps/custom.xml><?xml version="1.0" encoding="utf-8"?>
<Properties xmlns="http://schemas.openxmlformats.org/officeDocument/2006/custom-properties" xmlns:vt="http://schemas.openxmlformats.org/officeDocument/2006/docPropsVTypes"/>
</file>