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spacing w:before="0" w:after="200"/>
        <w:jc w:val="center"/>
      </w:pPr>
      <w:r>
        <w:rPr>
          <w:rFonts w:ascii="Arial" w:cs="Arial" w:eastAsia="Arial" w:hAnsi="Arial"/>
          <w:b/>
          <w:bCs/>
          <w:color w:val="1B3A6B"/>
          <w:sz w:val="56"/>
          <w:szCs w:val="56"/>
        </w:rPr>
        <w:t xml:space="preserve">BUSINESS REQUIREMENTS DOCUMENT</w:t>
      </w:r>
    </w:p>
    <w:p>
      <w:pPr>
        <w:spacing w:before="0" w:after="160"/>
        <w:jc w:val="center"/>
      </w:pPr>
      <w:r>
        <w:rPr>
          <w:rFonts w:ascii="Arial" w:cs="Arial" w:eastAsia="Arial" w:hAnsi="Arial"/>
          <w:b/>
          <w:bCs/>
          <w:color w:val="2E75B6"/>
          <w:sz w:val="44"/>
          <w:szCs w:val="44"/>
        </w:rPr>
        <w:t xml:space="preserve">Enterprise CRM Platform</w:t>
      </w:r>
    </w:p>
    <w:p>
      <w:pPr>
        <w:spacing w:before="0" w:after="480"/>
        <w:jc w:val="center"/>
      </w:pPr>
      <w:r>
        <w:rPr>
          <w:rFonts w:ascii="Arial" w:cs="Arial" w:eastAsia="Arial" w:hAnsi="Arial"/>
          <w:i/>
          <w:iCs/>
          <w:color w:val="0D6E6E"/>
          <w:sz w:val="24"/>
          <w:szCs w:val="24"/>
        </w:rPr>
        <w:t xml:space="preserve">Retail Broking | Corporate Broking | Investment Banking | AIF | Institutional Equities</w:t>
      </w:r>
    </w:p>
    <w:p>
      <w:pPr>
        <w:pBdr>
          <w:top w:val="single" w:color="1B3A6B" w:sz="6"/>
        </w:pBdr>
        <w:spacing w:before="0" w:after="200"/>
        <w:jc w:val="center"/>
      </w:pPr>
    </w:p>
    <w:p>
      <w:pPr>
        <w:spacing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Attribute</w:t>
            </w:r>
          </w:p>
        </w:tc>
        <w:tc>
          <w:tcPr>
            <w:tcW w:type="dxa" w:w="63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Details</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Document Title</w:t>
            </w:r>
          </w:p>
        </w:tc>
        <w:tc>
          <w:tcPr>
            <w:tcW w:type="dxa" w:w="6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Enterprise CRM Platform – Business Requirements Document</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Version</w:t>
            </w:r>
          </w:p>
        </w:tc>
        <w:tc>
          <w:tcPr>
            <w:tcW w:type="dxa" w:w="63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1.0 (Draft)</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Prepared By</w:t>
            </w:r>
          </w:p>
        </w:tc>
        <w:tc>
          <w:tcPr>
            <w:tcW w:type="dxa" w:w="6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Business Analysis Team</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Date</w:t>
            </w:r>
          </w:p>
        </w:tc>
        <w:tc>
          <w:tcPr>
            <w:tcW w:type="dxa" w:w="63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March 2026</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Status</w:t>
            </w:r>
          </w:p>
        </w:tc>
        <w:tc>
          <w:tcPr>
            <w:tcW w:type="dxa" w:w="6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For Review</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Tech Stack</w:t>
            </w:r>
          </w:p>
        </w:tc>
        <w:tc>
          <w:tcPr>
            <w:tcW w:type="dxa" w:w="63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Node.js | React.js | PostgreSQL | AWS (S3, EC2, RDS, Cognito, SES, SNS)</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Classification</w:t>
            </w:r>
          </w:p>
        </w:tc>
        <w:tc>
          <w:tcPr>
            <w:tcW w:type="dxa" w:w="6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Confidential – Internal Use Only</w:t>
            </w:r>
          </w:p>
        </w:tc>
      </w:tr>
    </w:tbl>
    <w:p>
      <w:r>
        <w:br w:type="page"/>
      </w:r>
    </w:p>
    <w:p>
      <w:pPr>
        <w:pStyle w:val="Heading1"/>
        <w:pageBreakBefore/>
        <w:spacing w:before="360" w:after="180"/>
      </w:pPr>
      <w:r>
        <w:rPr>
          <w:rFonts w:ascii="Arial" w:cs="Arial" w:eastAsia="Arial" w:hAnsi="Arial"/>
          <w:b/>
          <w:bCs/>
          <w:color w:val="1B3A6B"/>
          <w:sz w:val="36"/>
          <w:szCs w:val="36"/>
        </w:rPr>
        <w:t xml:space="preserve">Table of Contents</w:t>
      </w:r>
    </w:p>
    <w:p>
      <w:pPr>
        <w:spacing w:before="80" w:after="80"/>
      </w:pPr>
      <w:r>
        <w:rPr>
          <w:rFonts w:ascii="Arial" w:cs="Arial" w:eastAsia="Arial" w:hAnsi="Arial"/>
          <w:color w:val="1F2D3D"/>
          <w:sz w:val="20"/>
          <w:szCs w:val="20"/>
        </w:rPr>
        <w:t xml:space="preserve">This document contains the following sections:</w:t>
      </w:r>
    </w:p>
    <w:p>
      <w:pPr>
        <w:spacing w:before="60" w:after="60"/>
      </w:pPr>
      <w:r>
        <w:t xml:space="preserve"/>
      </w:r>
    </w:p>
    <w:p>
      <w:pPr>
        <w:spacing w:before="80" w:after="80"/>
      </w:pPr>
      <w:r>
        <w:rPr>
          <w:rFonts w:ascii="Arial" w:cs="Arial" w:eastAsia="Arial" w:hAnsi="Arial"/>
          <w:color w:val="1F2D3D"/>
          <w:sz w:val="20"/>
          <w:szCs w:val="20"/>
        </w:rPr>
        <w:t xml:space="preserve">1. Executive Summary</w:t>
      </w:r>
    </w:p>
    <w:p>
      <w:pPr>
        <w:spacing w:before="80" w:after="80"/>
      </w:pPr>
      <w:r>
        <w:rPr>
          <w:rFonts w:ascii="Arial" w:cs="Arial" w:eastAsia="Arial" w:hAnsi="Arial"/>
          <w:color w:val="1F2D3D"/>
          <w:sz w:val="20"/>
          <w:szCs w:val="20"/>
        </w:rPr>
        <w:t xml:space="preserve">2. Project Overview &amp; Objectives</w:t>
      </w:r>
    </w:p>
    <w:p>
      <w:pPr>
        <w:spacing w:before="80" w:after="80"/>
      </w:pPr>
      <w:r>
        <w:rPr>
          <w:rFonts w:ascii="Arial" w:cs="Arial" w:eastAsia="Arial" w:hAnsi="Arial"/>
          <w:color w:val="1F2D3D"/>
          <w:sz w:val="20"/>
          <w:szCs w:val="20"/>
        </w:rPr>
        <w:t xml:space="preserve">3. Technical Architecture</w:t>
      </w:r>
    </w:p>
    <w:p>
      <w:pPr>
        <w:spacing w:before="80" w:after="80"/>
      </w:pPr>
      <w:r>
        <w:rPr>
          <w:rFonts w:ascii="Arial" w:cs="Arial" w:eastAsia="Arial" w:hAnsi="Arial"/>
          <w:color w:val="1F2D3D"/>
          <w:sz w:val="20"/>
          <w:szCs w:val="20"/>
        </w:rPr>
        <w:t xml:space="preserve">4. Authentication &amp; User Management</w:t>
      </w:r>
    </w:p>
    <w:p>
      <w:pPr>
        <w:spacing w:before="80" w:after="80"/>
      </w:pPr>
      <w:r>
        <w:rPr>
          <w:rFonts w:ascii="Arial" w:cs="Arial" w:eastAsia="Arial" w:hAnsi="Arial"/>
          <w:color w:val="1F2D3D"/>
          <w:sz w:val="20"/>
          <w:szCs w:val="20"/>
        </w:rPr>
        <w:t xml:space="preserve">5. Core CRM – Client &amp; Relationship Management</w:t>
      </w:r>
    </w:p>
    <w:p>
      <w:pPr>
        <w:spacing w:before="80" w:after="80"/>
      </w:pPr>
      <w:r>
        <w:rPr>
          <w:rFonts w:ascii="Arial" w:cs="Arial" w:eastAsia="Arial" w:hAnsi="Arial"/>
          <w:color w:val="1F2D3D"/>
          <w:sz w:val="20"/>
          <w:szCs w:val="20"/>
        </w:rPr>
        <w:t xml:space="preserve">6. Module 1: Retail Broking CRM</w:t>
      </w:r>
    </w:p>
    <w:p>
      <w:pPr>
        <w:spacing w:before="80" w:after="80"/>
      </w:pPr>
      <w:r>
        <w:rPr>
          <w:rFonts w:ascii="Arial" w:cs="Arial" w:eastAsia="Arial" w:hAnsi="Arial"/>
          <w:color w:val="1F2D3D"/>
          <w:sz w:val="20"/>
          <w:szCs w:val="20"/>
        </w:rPr>
        <w:t xml:space="preserve">7. Module 2: Corporate Broking CRM</w:t>
      </w:r>
    </w:p>
    <w:p>
      <w:pPr>
        <w:spacing w:before="80" w:after="80"/>
      </w:pPr>
      <w:r>
        <w:rPr>
          <w:rFonts w:ascii="Arial" w:cs="Arial" w:eastAsia="Arial" w:hAnsi="Arial"/>
          <w:color w:val="1F2D3D"/>
          <w:sz w:val="20"/>
          <w:szCs w:val="20"/>
        </w:rPr>
        <w:t xml:space="preserve">8. Module 3: Investment Banking CRM</w:t>
      </w:r>
    </w:p>
    <w:p>
      <w:pPr>
        <w:spacing w:before="80" w:after="80"/>
      </w:pPr>
      <w:r>
        <w:rPr>
          <w:rFonts w:ascii="Arial" w:cs="Arial" w:eastAsia="Arial" w:hAnsi="Arial"/>
          <w:color w:val="1F2D3D"/>
          <w:sz w:val="20"/>
          <w:szCs w:val="20"/>
        </w:rPr>
        <w:t xml:space="preserve">9. Module 4: AIF (Alternate Investment Fund) CRM</w:t>
      </w:r>
    </w:p>
    <w:p>
      <w:pPr>
        <w:spacing w:before="80" w:after="80"/>
      </w:pPr>
      <w:r>
        <w:rPr>
          <w:rFonts w:ascii="Arial" w:cs="Arial" w:eastAsia="Arial" w:hAnsi="Arial"/>
          <w:color w:val="1F2D3D"/>
          <w:sz w:val="20"/>
          <w:szCs w:val="20"/>
        </w:rPr>
        <w:t xml:space="preserve">10. Module 5: Institutional Equities CRM</w:t>
      </w:r>
    </w:p>
    <w:p>
      <w:pPr>
        <w:spacing w:before="80" w:after="80"/>
      </w:pPr>
      <w:r>
        <w:rPr>
          <w:rFonts w:ascii="Arial" w:cs="Arial" w:eastAsia="Arial" w:hAnsi="Arial"/>
          <w:color w:val="1F2D3D"/>
          <w:sz w:val="20"/>
          <w:szCs w:val="20"/>
        </w:rPr>
        <w:t xml:space="preserve">11. Customer Service Module</w:t>
      </w:r>
    </w:p>
    <w:p>
      <w:pPr>
        <w:spacing w:before="80" w:after="80"/>
      </w:pPr>
      <w:r>
        <w:rPr>
          <w:rFonts w:ascii="Arial" w:cs="Arial" w:eastAsia="Arial" w:hAnsi="Arial"/>
          <w:color w:val="1F2D3D"/>
          <w:sz w:val="20"/>
          <w:szCs w:val="20"/>
        </w:rPr>
        <w:t xml:space="preserve">12. Service Request Management</w:t>
      </w:r>
    </w:p>
    <w:p>
      <w:pPr>
        <w:spacing w:before="80" w:after="80"/>
      </w:pPr>
      <w:r>
        <w:rPr>
          <w:rFonts w:ascii="Arial" w:cs="Arial" w:eastAsia="Arial" w:hAnsi="Arial"/>
          <w:color w:val="1F2D3D"/>
          <w:sz w:val="20"/>
          <w:szCs w:val="20"/>
        </w:rPr>
        <w:t xml:space="preserve">13. Lead Management &amp; Workflow</w:t>
      </w:r>
    </w:p>
    <w:p>
      <w:pPr>
        <w:spacing w:before="80" w:after="80"/>
      </w:pPr>
      <w:r>
        <w:rPr>
          <w:rFonts w:ascii="Arial" w:cs="Arial" w:eastAsia="Arial" w:hAnsi="Arial"/>
          <w:color w:val="1F2D3D"/>
          <w:sz w:val="20"/>
          <w:szCs w:val="20"/>
        </w:rPr>
        <w:t xml:space="preserve">14. Document Management System</w:t>
      </w:r>
    </w:p>
    <w:p>
      <w:pPr>
        <w:spacing w:before="80" w:after="80"/>
      </w:pPr>
      <w:r>
        <w:rPr>
          <w:rFonts w:ascii="Arial" w:cs="Arial" w:eastAsia="Arial" w:hAnsi="Arial"/>
          <w:color w:val="1F2D3D"/>
          <w:sz w:val="20"/>
          <w:szCs w:val="20"/>
        </w:rPr>
        <w:t xml:space="preserve">15. Compliance &amp; Regulatory</w:t>
      </w:r>
    </w:p>
    <w:p>
      <w:pPr>
        <w:spacing w:before="80" w:after="80"/>
      </w:pPr>
      <w:r>
        <w:rPr>
          <w:rFonts w:ascii="Arial" w:cs="Arial" w:eastAsia="Arial" w:hAnsi="Arial"/>
          <w:color w:val="1F2D3D"/>
          <w:sz w:val="20"/>
          <w:szCs w:val="20"/>
        </w:rPr>
        <w:t xml:space="preserve">16. Analytics &amp; Reporting Dashboards</w:t>
      </w:r>
    </w:p>
    <w:p>
      <w:pPr>
        <w:spacing w:before="80" w:after="80"/>
      </w:pPr>
      <w:r>
        <w:rPr>
          <w:rFonts w:ascii="Arial" w:cs="Arial" w:eastAsia="Arial" w:hAnsi="Arial"/>
          <w:color w:val="1F2D3D"/>
          <w:sz w:val="20"/>
          <w:szCs w:val="20"/>
        </w:rPr>
        <w:t xml:space="preserve">17. Integrations</w:t>
      </w:r>
    </w:p>
    <w:p>
      <w:pPr>
        <w:spacing w:before="80" w:after="80"/>
      </w:pPr>
      <w:r>
        <w:rPr>
          <w:rFonts w:ascii="Arial" w:cs="Arial" w:eastAsia="Arial" w:hAnsi="Arial"/>
          <w:color w:val="1F2D3D"/>
          <w:sz w:val="20"/>
          <w:szCs w:val="20"/>
        </w:rPr>
        <w:t xml:space="preserve">18. Non-Functional Requirements</w:t>
      </w:r>
    </w:p>
    <w:p>
      <w:pPr>
        <w:spacing w:before="80" w:after="80"/>
      </w:pPr>
      <w:r>
        <w:rPr>
          <w:rFonts w:ascii="Arial" w:cs="Arial" w:eastAsia="Arial" w:hAnsi="Arial"/>
          <w:color w:val="1F2D3D"/>
          <w:sz w:val="20"/>
          <w:szCs w:val="20"/>
        </w:rPr>
        <w:t xml:space="preserve">19. Implementation Roadmap</w:t>
      </w:r>
    </w:p>
    <w:p>
      <w:pPr>
        <w:spacing w:before="80" w:after="80"/>
      </w:pPr>
      <w:r>
        <w:rPr>
          <w:rFonts w:ascii="Arial" w:cs="Arial" w:eastAsia="Arial" w:hAnsi="Arial"/>
          <w:color w:val="1F2D3D"/>
          <w:sz w:val="20"/>
          <w:szCs w:val="20"/>
        </w:rPr>
        <w:t xml:space="preserve">20. Appendix</w:t>
      </w:r>
    </w:p>
    <w:p>
      <w:r>
        <w:br w:type="page"/>
      </w:r>
    </w:p>
    <w:p>
      <w:pPr>
        <w:pStyle w:val="Heading1"/>
        <w:pageBreakBefore/>
        <w:spacing w:before="360" w:after="180"/>
      </w:pPr>
      <w:r>
        <w:rPr>
          <w:rFonts w:ascii="Arial" w:cs="Arial" w:eastAsia="Arial" w:hAnsi="Arial"/>
          <w:b/>
          <w:bCs/>
          <w:color w:val="1B3A6B"/>
          <w:sz w:val="36"/>
          <w:szCs w:val="36"/>
        </w:rPr>
        <w:t xml:space="preserve">1. Executive Summary</w:t>
      </w:r>
    </w:p>
    <w:p>
      <w:pPr>
        <w:spacing w:before="80" w:after="80"/>
      </w:pPr>
      <w:r>
        <w:rPr>
          <w:rFonts w:ascii="Arial" w:cs="Arial" w:eastAsia="Arial" w:hAnsi="Arial"/>
          <w:color w:val="1F2D3D"/>
          <w:sz w:val="20"/>
          <w:szCs w:val="20"/>
        </w:rPr>
        <w:t xml:space="preserve">This Business Requirements Document (BRD) defines the complete functional and non-functional requirements for an Enterprise CRM Platform designed to serve five distinct financial services business lines: Retail Broking, Corporate Broking, Investment Banking, Alternate Investment Funds (AIF), and Institutional Equities.</w:t>
      </w:r>
    </w:p>
    <w:p>
      <w:pPr>
        <w:spacing w:before="60" w:after="60"/>
      </w:pPr>
      <w:r>
        <w:t xml:space="preserve"/>
      </w:r>
    </w:p>
    <w:p>
      <w:pPr>
        <w:spacing w:before="80" w:after="80"/>
      </w:pPr>
      <w:r>
        <w:rPr>
          <w:rFonts w:ascii="Arial" w:cs="Arial" w:eastAsia="Arial" w:hAnsi="Arial"/>
          <w:color w:val="1F2D3D"/>
          <w:sz w:val="20"/>
          <w:szCs w:val="20"/>
        </w:rPr>
        <w:t xml:space="preserve">The platform will be developed on a modern, scalable technology stack comprising React.js (frontend), Node.js (backend APIs), PostgreSQL (relational database), and AWS infrastructure — including S3 for document management, Cognito for authentication, RDS for managed databases, SES/SNS for communications, and CloudFront/EC2/ECS for hosting and compute.</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1.1 Business Drivers</w:t>
      </w:r>
    </w:p>
    <w:p>
      <w:pPr>
        <w:pStyle w:val="ListParagraph"/>
        <w:numPr>
          <w:ilvl w:val="0"/>
          <w:numId w:val="2"/>
        </w:numPr>
        <w:spacing w:before="60" w:after="60"/>
      </w:pPr>
      <w:r>
        <w:rPr>
          <w:rFonts w:ascii="Arial" w:cs="Arial" w:eastAsia="Arial" w:hAnsi="Arial"/>
          <w:color w:val="1F2D3D"/>
          <w:sz w:val="20"/>
          <w:szCs w:val="20"/>
        </w:rPr>
        <w:t xml:space="preserve">Unified client relationship view across all business lines eliminating siloed data</w:t>
      </w:r>
    </w:p>
    <w:p>
      <w:pPr>
        <w:pStyle w:val="ListParagraph"/>
        <w:numPr>
          <w:ilvl w:val="0"/>
          <w:numId w:val="2"/>
        </w:numPr>
        <w:spacing w:before="60" w:after="60"/>
      </w:pPr>
      <w:r>
        <w:rPr>
          <w:rFonts w:ascii="Arial" w:cs="Arial" w:eastAsia="Arial" w:hAnsi="Arial"/>
          <w:color w:val="1F2D3D"/>
          <w:sz w:val="20"/>
          <w:szCs w:val="20"/>
        </w:rPr>
        <w:t xml:space="preserve">End-to-end deal and lead lifecycle management tailored per business vertical</w:t>
      </w:r>
    </w:p>
    <w:p>
      <w:pPr>
        <w:pStyle w:val="ListParagraph"/>
        <w:numPr>
          <w:ilvl w:val="0"/>
          <w:numId w:val="2"/>
        </w:numPr>
        <w:spacing w:before="60" w:after="60"/>
      </w:pPr>
      <w:r>
        <w:rPr>
          <w:rFonts w:ascii="Arial" w:cs="Arial" w:eastAsia="Arial" w:hAnsi="Arial"/>
          <w:color w:val="1F2D3D"/>
          <w:sz w:val="20"/>
          <w:szCs w:val="20"/>
        </w:rPr>
        <w:t xml:space="preserve">Regulatory compliance with MiFID II, KYC/AML, SEBI, and internal audit requirements</w:t>
      </w:r>
    </w:p>
    <w:p>
      <w:pPr>
        <w:pStyle w:val="ListParagraph"/>
        <w:numPr>
          <w:ilvl w:val="0"/>
          <w:numId w:val="2"/>
        </w:numPr>
        <w:spacing w:before="60" w:after="60"/>
      </w:pPr>
      <w:r>
        <w:rPr>
          <w:rFonts w:ascii="Arial" w:cs="Arial" w:eastAsia="Arial" w:hAnsi="Arial"/>
          <w:color w:val="1F2D3D"/>
          <w:sz w:val="20"/>
          <w:szCs w:val="20"/>
        </w:rPr>
        <w:t xml:space="preserve">Omni-channel customer service with consistent SLA tracking</w:t>
      </w:r>
    </w:p>
    <w:p>
      <w:pPr>
        <w:pStyle w:val="ListParagraph"/>
        <w:numPr>
          <w:ilvl w:val="0"/>
          <w:numId w:val="2"/>
        </w:numPr>
        <w:spacing w:before="60" w:after="60"/>
      </w:pPr>
      <w:r>
        <w:rPr>
          <w:rFonts w:ascii="Arial" w:cs="Arial" w:eastAsia="Arial" w:hAnsi="Arial"/>
          <w:color w:val="1F2D3D"/>
          <w:sz w:val="20"/>
          <w:szCs w:val="20"/>
        </w:rPr>
        <w:t xml:space="preserve">Real-time analytics and reporting dashboards for leadership and desk heads</w:t>
      </w:r>
    </w:p>
    <w:p>
      <w:pPr>
        <w:pStyle w:val="ListParagraph"/>
        <w:numPr>
          <w:ilvl w:val="0"/>
          <w:numId w:val="2"/>
        </w:numPr>
        <w:spacing w:before="60" w:after="60"/>
      </w:pPr>
      <w:r>
        <w:rPr>
          <w:rFonts w:ascii="Arial" w:cs="Arial" w:eastAsia="Arial" w:hAnsi="Arial"/>
          <w:color w:val="1F2D3D"/>
          <w:sz w:val="20"/>
          <w:szCs w:val="20"/>
        </w:rPr>
        <w:t xml:space="preserve">Integration with Bloomberg, Refinitiv, OMS/EMS, and back-office billing systems</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1.2 Key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Outcome</w:t>
            </w:r>
          </w:p>
        </w:tc>
        <w:tc>
          <w:tcPr>
            <w:tcW w:type="dxa" w:w="53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Metric</w:t>
            </w:r>
          </w:p>
        </w:tc>
      </w:tr>
      <w:tr>
        <w:tc>
          <w:tcPr>
            <w:tcW w:type="dxa" w:w="4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Faster Lead-to-Onboarding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Target: 40% reduction in onboarding cycle time</w:t>
            </w:r>
          </w:p>
        </w:tc>
      </w:tr>
      <w:tr>
        <w:tc>
          <w:tcPr>
            <w:tcW w:type="dxa" w:w="4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Client 360 View</w:t>
            </w:r>
          </w:p>
        </w:tc>
        <w:tc>
          <w:tcPr>
            <w:tcW w:type="dxa" w:w="53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Single profile across all business lines</w:t>
            </w:r>
          </w:p>
        </w:tc>
      </w:tr>
      <w:tr>
        <w:tc>
          <w:tcPr>
            <w:tcW w:type="dxa" w:w="4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Compliance Automation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Zero manual wall-crossing logs; automated audit trails</w:t>
            </w:r>
          </w:p>
        </w:tc>
      </w:tr>
      <w:tr>
        <w:tc>
          <w:tcPr>
            <w:tcW w:type="dxa" w:w="4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CS Resolution Time</w:t>
            </w:r>
          </w:p>
        </w:tc>
        <w:tc>
          <w:tcPr>
            <w:tcW w:type="dxa" w:w="53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30% improvement in first-call resolution</w:t>
            </w:r>
          </w:p>
        </w:tc>
      </w:tr>
      <w:tr>
        <w:tc>
          <w:tcPr>
            <w:tcW w:type="dxa" w:w="4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Revenue Visibility</w:t>
            </w:r>
          </w:p>
        </w:tc>
        <w:tc>
          <w:tcPr>
            <w:tcW w:type="dxa" w:w="5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Real-time pipeline and wallet-share dashboards</w:t>
            </w:r>
          </w:p>
        </w:tc>
      </w:tr>
    </w:tbl>
    <w:p>
      <w:pPr>
        <w:spacing w:before="60" w:after="60"/>
      </w:pPr>
      <w:r>
        <w:t xml:space="preserve"/>
      </w:r>
    </w:p>
    <w:p>
      <w:pPr>
        <w:pStyle w:val="Heading1"/>
        <w:pageBreakBefore/>
        <w:spacing w:before="360" w:after="180"/>
      </w:pPr>
      <w:r>
        <w:rPr>
          <w:rFonts w:ascii="Arial" w:cs="Arial" w:eastAsia="Arial" w:hAnsi="Arial"/>
          <w:b/>
          <w:bCs/>
          <w:color w:val="1B3A6B"/>
          <w:sz w:val="36"/>
          <w:szCs w:val="36"/>
        </w:rPr>
        <w:t xml:space="preserve">2. Project Overview &amp; Objectives</w:t>
      </w:r>
    </w:p>
    <w:p>
      <w:pPr>
        <w:pStyle w:val="Heading2"/>
        <w:pBdr>
          <w:bottom w:val="single" w:color="2E75B6" w:sz="4" w:space="4"/>
        </w:pBdr>
        <w:spacing w:before="280" w:after="140"/>
      </w:pPr>
      <w:r>
        <w:rPr>
          <w:rFonts w:ascii="Arial" w:cs="Arial" w:eastAsia="Arial" w:hAnsi="Arial"/>
          <w:b/>
          <w:bCs/>
          <w:color w:val="2E75B6"/>
          <w:sz w:val="28"/>
          <w:szCs w:val="28"/>
        </w:rPr>
        <w:t xml:space="preserve">2.1 Scope</w:t>
      </w:r>
    </w:p>
    <w:p>
      <w:pPr>
        <w:spacing w:before="80" w:after="80"/>
      </w:pPr>
      <w:r>
        <w:rPr>
          <w:rFonts w:ascii="Arial" w:cs="Arial" w:eastAsia="Arial" w:hAnsi="Arial"/>
          <w:color w:val="1F2D3D"/>
          <w:sz w:val="20"/>
          <w:szCs w:val="20"/>
        </w:rPr>
        <w:t xml:space="preserve">The CRM platform encompasses:</w:t>
      </w:r>
    </w:p>
    <w:p>
      <w:pPr>
        <w:pStyle w:val="ListParagraph"/>
        <w:numPr>
          <w:ilvl w:val="0"/>
          <w:numId w:val="2"/>
        </w:numPr>
        <w:spacing w:before="60" w:after="60"/>
      </w:pPr>
      <w:r>
        <w:rPr>
          <w:rFonts w:ascii="Arial" w:cs="Arial" w:eastAsia="Arial" w:hAnsi="Arial"/>
          <w:color w:val="1F2D3D"/>
          <w:sz w:val="20"/>
          <w:szCs w:val="20"/>
        </w:rPr>
        <w:t xml:space="preserve">Five business-line specific CRM modules, each with tailored lead-to-closure workflows</w:t>
      </w:r>
    </w:p>
    <w:p>
      <w:pPr>
        <w:pStyle w:val="ListParagraph"/>
        <w:numPr>
          <w:ilvl w:val="0"/>
          <w:numId w:val="2"/>
        </w:numPr>
        <w:spacing w:before="60" w:after="60"/>
      </w:pPr>
      <w:r>
        <w:rPr>
          <w:rFonts w:ascii="Arial" w:cs="Arial" w:eastAsia="Arial" w:hAnsi="Arial"/>
          <w:color w:val="1F2D3D"/>
          <w:sz w:val="20"/>
          <w:szCs w:val="20"/>
        </w:rPr>
        <w:t xml:space="preserve">A shared Customer Service (CS) module with channel-specific workflows per business line</w:t>
      </w:r>
    </w:p>
    <w:p>
      <w:pPr>
        <w:pStyle w:val="ListParagraph"/>
        <w:numPr>
          <w:ilvl w:val="0"/>
          <w:numId w:val="2"/>
        </w:numPr>
        <w:spacing w:before="60" w:after="60"/>
      </w:pPr>
      <w:r>
        <w:rPr>
          <w:rFonts w:ascii="Arial" w:cs="Arial" w:eastAsia="Arial" w:hAnsi="Arial"/>
          <w:color w:val="1F2D3D"/>
          <w:sz w:val="20"/>
          <w:szCs w:val="20"/>
        </w:rPr>
        <w:t xml:space="preserve">A unified Service Request (SR) module with business-specific routing and SLA management</w:t>
      </w:r>
    </w:p>
    <w:p>
      <w:pPr>
        <w:pStyle w:val="ListParagraph"/>
        <w:numPr>
          <w:ilvl w:val="0"/>
          <w:numId w:val="2"/>
        </w:numPr>
        <w:spacing w:before="60" w:after="60"/>
      </w:pPr>
      <w:r>
        <w:rPr>
          <w:rFonts w:ascii="Arial" w:cs="Arial" w:eastAsia="Arial" w:hAnsi="Arial"/>
          <w:color w:val="1F2D3D"/>
          <w:sz w:val="20"/>
          <w:szCs w:val="20"/>
        </w:rPr>
        <w:t xml:space="preserve">Core shared services: Client 360, Document Management, Compliance, Analytics</w:t>
      </w:r>
    </w:p>
    <w:p>
      <w:pPr>
        <w:pStyle w:val="ListParagraph"/>
        <w:numPr>
          <w:ilvl w:val="0"/>
          <w:numId w:val="2"/>
        </w:numPr>
        <w:spacing w:before="60" w:after="60"/>
      </w:pPr>
      <w:r>
        <w:rPr>
          <w:rFonts w:ascii="Arial" w:cs="Arial" w:eastAsia="Arial" w:hAnsi="Arial"/>
          <w:color w:val="1F2D3D"/>
          <w:sz w:val="20"/>
          <w:szCs w:val="20"/>
        </w:rPr>
        <w:t xml:space="preserve">Authentication via Microsoft 365 (M365) or OTP-based login with MFA</w:t>
      </w:r>
    </w:p>
    <w:p>
      <w:pPr>
        <w:pStyle w:val="ListParagraph"/>
        <w:numPr>
          <w:ilvl w:val="0"/>
          <w:numId w:val="2"/>
        </w:numPr>
        <w:spacing w:before="60" w:after="60"/>
      </w:pPr>
      <w:r>
        <w:rPr>
          <w:rFonts w:ascii="Arial" w:cs="Arial" w:eastAsia="Arial" w:hAnsi="Arial"/>
          <w:color w:val="1F2D3D"/>
          <w:sz w:val="20"/>
          <w:szCs w:val="20"/>
        </w:rPr>
        <w:t xml:space="preserve">Role-based access control (RBAC) with custom roles and multi-role user support</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2.2 Out of Scope</w:t>
      </w:r>
    </w:p>
    <w:p>
      <w:pPr>
        <w:pStyle w:val="ListParagraph"/>
        <w:numPr>
          <w:ilvl w:val="0"/>
          <w:numId w:val="2"/>
        </w:numPr>
        <w:spacing w:before="60" w:after="60"/>
      </w:pPr>
      <w:r>
        <w:rPr>
          <w:rFonts w:ascii="Arial" w:cs="Arial" w:eastAsia="Arial" w:hAnsi="Arial"/>
          <w:color w:val="1F2D3D"/>
          <w:sz w:val="20"/>
          <w:szCs w:val="20"/>
        </w:rPr>
        <w:t xml:space="preserve">Trading execution systems (OMS/EMS) – integration only</w:t>
      </w:r>
    </w:p>
    <w:p>
      <w:pPr>
        <w:pStyle w:val="ListParagraph"/>
        <w:numPr>
          <w:ilvl w:val="0"/>
          <w:numId w:val="2"/>
        </w:numPr>
        <w:spacing w:before="60" w:after="60"/>
      </w:pPr>
      <w:r>
        <w:rPr>
          <w:rFonts w:ascii="Arial" w:cs="Arial" w:eastAsia="Arial" w:hAnsi="Arial"/>
          <w:color w:val="1F2D3D"/>
          <w:sz w:val="20"/>
          <w:szCs w:val="20"/>
        </w:rPr>
        <w:t xml:space="preserve">Core banking / back-office systems – integration only</w:t>
      </w:r>
    </w:p>
    <w:p>
      <w:pPr>
        <w:pStyle w:val="ListParagraph"/>
        <w:numPr>
          <w:ilvl w:val="0"/>
          <w:numId w:val="2"/>
        </w:numPr>
        <w:spacing w:before="60" w:after="60"/>
      </w:pPr>
      <w:r>
        <w:rPr>
          <w:rFonts w:ascii="Arial" w:cs="Arial" w:eastAsia="Arial" w:hAnsi="Arial"/>
          <w:color w:val="1F2D3D"/>
          <w:sz w:val="20"/>
          <w:szCs w:val="20"/>
        </w:rPr>
        <w:t xml:space="preserve">Bloomberg terminal – data sync integration only</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2.3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Stakeholder</w:t>
            </w:r>
          </w:p>
        </w:tc>
        <w:tc>
          <w:tcPr>
            <w:tcW w:type="dxa" w:w="30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Role</w:t>
            </w:r>
          </w:p>
        </w:tc>
        <w:tc>
          <w:tcPr>
            <w:tcW w:type="dxa" w:w="38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Interest</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Business Heads</w:t>
            </w:r>
          </w:p>
        </w:tc>
        <w:tc>
          <w:tcPr>
            <w:tcW w:type="dxa" w:w="3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Product Owners</w:t>
            </w:r>
          </w:p>
        </w:tc>
        <w:tc>
          <w:tcPr>
            <w:tcW w:type="dxa" w:w="38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Business workflow approvals</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Compliance Team</w:t>
            </w:r>
          </w:p>
        </w:tc>
        <w:tc>
          <w:tcPr>
            <w:tcW w:type="dxa" w:w="3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SME</w:t>
            </w:r>
          </w:p>
        </w:tc>
        <w:tc>
          <w:tcPr>
            <w:tcW w:type="dxa" w:w="38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Regulatory requirements</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IT / DevOps</w:t>
            </w:r>
          </w:p>
        </w:tc>
        <w:tc>
          <w:tcPr>
            <w:tcW w:type="dxa" w:w="3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Implementation</w:t>
            </w:r>
          </w:p>
        </w:tc>
        <w:tc>
          <w:tcPr>
            <w:tcW w:type="dxa" w:w="38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Architecture &amp; deployment</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Sales / Relationship Managers</w:t>
            </w:r>
          </w:p>
        </w:tc>
        <w:tc>
          <w:tcPr>
            <w:tcW w:type="dxa" w:w="3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End Users</w:t>
            </w:r>
          </w:p>
        </w:tc>
        <w:tc>
          <w:tcPr>
            <w:tcW w:type="dxa" w:w="38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Daily CRM usage</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Customer Service Team</w:t>
            </w:r>
          </w:p>
        </w:tc>
        <w:tc>
          <w:tcPr>
            <w:tcW w:type="dxa" w:w="3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End Users</w:t>
            </w:r>
          </w:p>
        </w:tc>
        <w:tc>
          <w:tcPr>
            <w:tcW w:type="dxa" w:w="38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CS module workflows</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Senior Management</w:t>
            </w:r>
          </w:p>
        </w:tc>
        <w:tc>
          <w:tcPr>
            <w:tcW w:type="dxa" w:w="3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Sponsors</w:t>
            </w:r>
          </w:p>
        </w:tc>
        <w:tc>
          <w:tcPr>
            <w:tcW w:type="dxa" w:w="38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Dashboards &amp; ROI</w:t>
            </w:r>
          </w:p>
        </w:tc>
      </w:tr>
    </w:tbl>
    <w:p>
      <w:pPr>
        <w:spacing w:before="60" w:after="60"/>
      </w:pPr>
      <w:r>
        <w:t xml:space="preserve"/>
      </w:r>
    </w:p>
    <w:p>
      <w:pPr>
        <w:pStyle w:val="Heading1"/>
        <w:pageBreakBefore/>
        <w:spacing w:before="360" w:after="180"/>
      </w:pPr>
      <w:r>
        <w:rPr>
          <w:rFonts w:ascii="Arial" w:cs="Arial" w:eastAsia="Arial" w:hAnsi="Arial"/>
          <w:b/>
          <w:bCs/>
          <w:color w:val="1B3A6B"/>
          <w:sz w:val="36"/>
          <w:szCs w:val="36"/>
        </w:rPr>
        <w:t xml:space="preserve">3. Technical Architecture</w:t>
      </w:r>
    </w:p>
    <w:p>
      <w:pPr>
        <w:pStyle w:val="Heading2"/>
        <w:pBdr>
          <w:bottom w:val="single" w:color="2E75B6" w:sz="4" w:space="4"/>
        </w:pBdr>
        <w:spacing w:before="280" w:after="140"/>
      </w:pPr>
      <w:r>
        <w:rPr>
          <w:rFonts w:ascii="Arial" w:cs="Arial" w:eastAsia="Arial" w:hAnsi="Arial"/>
          <w:b/>
          <w:bCs/>
          <w:color w:val="2E75B6"/>
          <w:sz w:val="28"/>
          <w:szCs w:val="28"/>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Layer</w:t>
            </w:r>
          </w:p>
        </w:tc>
        <w:tc>
          <w:tcPr>
            <w:tcW w:type="dxa" w:w="28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Technology</w:t>
            </w:r>
          </w:p>
        </w:tc>
        <w:tc>
          <w:tcPr>
            <w:tcW w:type="dxa" w:w="43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Purpose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Frontend</w:t>
            </w:r>
          </w:p>
        </w:tc>
        <w:tc>
          <w:tcPr>
            <w:tcW w:type="dxa" w:w="28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React.js 18+</w:t>
            </w:r>
          </w:p>
        </w:tc>
        <w:tc>
          <w:tcPr>
            <w:tcW w:type="dxa" w:w="4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SPA with component-based UI, responsive design</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Backend API</w:t>
            </w:r>
          </w:p>
        </w:tc>
        <w:tc>
          <w:tcPr>
            <w:tcW w:type="dxa" w:w="28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Node.js (Express.js / NestJS)</w:t>
            </w:r>
          </w:p>
        </w:tc>
        <w:tc>
          <w:tcPr>
            <w:tcW w:type="dxa" w:w="43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RESTful APIs and WebSocket services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Database</w:t>
            </w:r>
          </w:p>
        </w:tc>
        <w:tc>
          <w:tcPr>
            <w:tcW w:type="dxa" w:w="28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PostgreSQL 15+</w:t>
            </w:r>
          </w:p>
        </w:tc>
        <w:tc>
          <w:tcPr>
            <w:tcW w:type="dxa" w:w="4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Primary relational store for all CRM data</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Cache</w:t>
            </w:r>
          </w:p>
        </w:tc>
        <w:tc>
          <w:tcPr>
            <w:tcW w:type="dxa" w:w="28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Redis (AWS ElastiCache)</w:t>
            </w:r>
          </w:p>
        </w:tc>
        <w:tc>
          <w:tcPr>
            <w:tcW w:type="dxa" w:w="43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Session management, real-time data caching</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Document Store</w:t>
            </w:r>
          </w:p>
        </w:tc>
        <w:tc>
          <w:tcPr>
            <w:tcW w:type="dxa" w:w="28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AWS S3</w:t>
            </w:r>
          </w:p>
        </w:tc>
        <w:tc>
          <w:tcPr>
            <w:tcW w:type="dxa" w:w="4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Secure storage for pitch books, NDAs, KYC docs</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Authentication</w:t>
            </w:r>
          </w:p>
        </w:tc>
        <w:tc>
          <w:tcPr>
            <w:tcW w:type="dxa" w:w="28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AWS Cognito + M365 SSO</w:t>
            </w:r>
          </w:p>
        </w:tc>
        <w:tc>
          <w:tcPr>
            <w:tcW w:type="dxa" w:w="43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OAuth 2.0 / SAML 2.0 identity management</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Email Service</w:t>
            </w:r>
          </w:p>
        </w:tc>
        <w:tc>
          <w:tcPr>
            <w:tcW w:type="dxa" w:w="28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AWS SES</w:t>
            </w:r>
          </w:p>
        </w:tc>
        <w:tc>
          <w:tcPr>
            <w:tcW w:type="dxa" w:w="4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Transactional emails, bulk communication</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SMS / Notifications</w:t>
            </w:r>
          </w:p>
        </w:tc>
        <w:tc>
          <w:tcPr>
            <w:tcW w:type="dxa" w:w="28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AWS SNS</w:t>
            </w:r>
          </w:p>
        </w:tc>
        <w:tc>
          <w:tcPr>
            <w:tcW w:type="dxa" w:w="43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OTP delivery, push notifications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Search</w:t>
            </w:r>
          </w:p>
        </w:tc>
        <w:tc>
          <w:tcPr>
            <w:tcW w:type="dxa" w:w="28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AWS OpenSearch</w:t>
            </w:r>
          </w:p>
        </w:tc>
        <w:tc>
          <w:tcPr>
            <w:tcW w:type="dxa" w:w="4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Full-text search across clients, deals, documents</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File CDN</w:t>
            </w:r>
          </w:p>
        </w:tc>
        <w:tc>
          <w:tcPr>
            <w:tcW w:type="dxa" w:w="28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AWS CloudFront</w:t>
            </w:r>
          </w:p>
        </w:tc>
        <w:tc>
          <w:tcPr>
            <w:tcW w:type="dxa" w:w="43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Secure document access with signed URLs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Compute</w:t>
            </w:r>
          </w:p>
        </w:tc>
        <w:tc>
          <w:tcPr>
            <w:tcW w:type="dxa" w:w="28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AWS ECS (Fargate)</w:t>
            </w:r>
          </w:p>
        </w:tc>
        <w:tc>
          <w:tcPr>
            <w:tcW w:type="dxa" w:w="4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Containerized Node.js microservices</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Database Managed</w:t>
            </w:r>
          </w:p>
        </w:tc>
        <w:tc>
          <w:tcPr>
            <w:tcW w:type="dxa" w:w="28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AWS RDS (PostgreSQL)</w:t>
            </w:r>
          </w:p>
        </w:tc>
        <w:tc>
          <w:tcPr>
            <w:tcW w:type="dxa" w:w="43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Managed DB with Multi-AZ failover</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CI/CD</w:t>
            </w:r>
          </w:p>
        </w:tc>
        <w:tc>
          <w:tcPr>
            <w:tcW w:type="dxa" w:w="28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AWS CodePipeline + GitHub Actions</w:t>
            </w:r>
          </w:p>
        </w:tc>
        <w:tc>
          <w:tcPr>
            <w:tcW w:type="dxa" w:w="4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Automated build and deployment</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Monitoring</w:t>
            </w:r>
          </w:p>
        </w:tc>
        <w:tc>
          <w:tcPr>
            <w:tcW w:type="dxa" w:w="28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AWS CloudWatch + Datadog</w:t>
            </w:r>
          </w:p>
        </w:tc>
        <w:tc>
          <w:tcPr>
            <w:tcW w:type="dxa" w:w="43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Application and infrastructure monitoring</w:t>
            </w:r>
          </w:p>
        </w:tc>
      </w:tr>
    </w:tbl>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3.2 Architecture Principles</w:t>
      </w:r>
    </w:p>
    <w:p>
      <w:pPr>
        <w:pStyle w:val="ListParagraph"/>
        <w:numPr>
          <w:ilvl w:val="0"/>
          <w:numId w:val="2"/>
        </w:numPr>
        <w:spacing w:before="60" w:after="60"/>
      </w:pPr>
      <w:r>
        <w:rPr>
          <w:rFonts w:ascii="Arial" w:cs="Arial" w:eastAsia="Arial" w:hAnsi="Arial"/>
          <w:color w:val="1F2D3D"/>
          <w:sz w:val="20"/>
          <w:szCs w:val="20"/>
        </w:rPr>
        <w:t xml:space="preserve">Microservices architecture with domain-driven design (DDD) per business module</w:t>
      </w:r>
    </w:p>
    <w:p>
      <w:pPr>
        <w:pStyle w:val="ListParagraph"/>
        <w:numPr>
          <w:ilvl w:val="0"/>
          <w:numId w:val="2"/>
        </w:numPr>
        <w:spacing w:before="60" w:after="60"/>
      </w:pPr>
      <w:r>
        <w:rPr>
          <w:rFonts w:ascii="Arial" w:cs="Arial" w:eastAsia="Arial" w:hAnsi="Arial"/>
          <w:color w:val="1F2D3D"/>
          <w:sz w:val="20"/>
          <w:szCs w:val="20"/>
        </w:rPr>
        <w:t xml:space="preserve">API-first design — all frontend interactions via versioned REST APIs</w:t>
      </w:r>
    </w:p>
    <w:p>
      <w:pPr>
        <w:pStyle w:val="ListParagraph"/>
        <w:numPr>
          <w:ilvl w:val="0"/>
          <w:numId w:val="2"/>
        </w:numPr>
        <w:spacing w:before="60" w:after="60"/>
      </w:pPr>
      <w:r>
        <w:rPr>
          <w:rFonts w:ascii="Arial" w:cs="Arial" w:eastAsia="Arial" w:hAnsi="Arial"/>
          <w:color w:val="1F2D3D"/>
          <w:sz w:val="20"/>
          <w:szCs w:val="20"/>
        </w:rPr>
        <w:t xml:space="preserve">Event-driven communication between modules using AWS SQS/SNS</w:t>
      </w:r>
    </w:p>
    <w:p>
      <w:pPr>
        <w:pStyle w:val="ListParagraph"/>
        <w:numPr>
          <w:ilvl w:val="0"/>
          <w:numId w:val="2"/>
        </w:numPr>
        <w:spacing w:before="60" w:after="60"/>
      </w:pPr>
      <w:r>
        <w:rPr>
          <w:rFonts w:ascii="Arial" w:cs="Arial" w:eastAsia="Arial" w:hAnsi="Arial"/>
          <w:color w:val="1F2D3D"/>
          <w:sz w:val="20"/>
          <w:szCs w:val="20"/>
        </w:rPr>
        <w:t xml:space="preserve">Zero-trust security model with JWT tokens, API gateway rate limiting</w:t>
      </w:r>
    </w:p>
    <w:p>
      <w:pPr>
        <w:pStyle w:val="ListParagraph"/>
        <w:numPr>
          <w:ilvl w:val="0"/>
          <w:numId w:val="2"/>
        </w:numPr>
        <w:spacing w:before="60" w:after="60"/>
      </w:pPr>
      <w:r>
        <w:rPr>
          <w:rFonts w:ascii="Arial" w:cs="Arial" w:eastAsia="Arial" w:hAnsi="Arial"/>
          <w:color w:val="1F2D3D"/>
          <w:sz w:val="20"/>
          <w:szCs w:val="20"/>
        </w:rPr>
        <w:t xml:space="preserve">Multi-tenant data isolation per business line with row-level security in PostgreSQL</w:t>
      </w:r>
    </w:p>
    <w:p>
      <w:pPr>
        <w:pStyle w:val="ListParagraph"/>
        <w:numPr>
          <w:ilvl w:val="0"/>
          <w:numId w:val="2"/>
        </w:numPr>
        <w:spacing w:before="60" w:after="60"/>
      </w:pPr>
      <w:r>
        <w:rPr>
          <w:rFonts w:ascii="Arial" w:cs="Arial" w:eastAsia="Arial" w:hAnsi="Arial"/>
          <w:color w:val="1F2D3D"/>
          <w:sz w:val="20"/>
          <w:szCs w:val="20"/>
        </w:rPr>
        <w:t xml:space="preserve">HTTPS-only with TLS 1.3; data encrypted at rest (AES-256) and in transit</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3.3 AWS Infrastructure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AWS Service</w:t>
            </w:r>
          </w:p>
        </w:tc>
        <w:tc>
          <w:tcPr>
            <w:tcW w:type="dxa" w:w="61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Usage</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AWS S3</w:t>
            </w:r>
          </w:p>
        </w:tc>
        <w:tc>
          <w:tcPr>
            <w:tcW w:type="dxa" w:w="6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Document management, pitch books, KYC, NDAs, reports; versioning enabled</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AWS RDS (PostgreSQL)</w:t>
            </w:r>
          </w:p>
        </w:tc>
        <w:tc>
          <w:tcPr>
            <w:tcW w:type="dxa" w:w="6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Primary CRM database with read replicas and Multi-AZ</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AWS ElastiCache (Redis)</w:t>
            </w:r>
          </w:p>
        </w:tc>
        <w:tc>
          <w:tcPr>
            <w:tcW w:type="dxa" w:w="6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Session store, cache for frequently accessed data</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AWS Cognito</w:t>
            </w:r>
          </w:p>
        </w:tc>
        <w:tc>
          <w:tcPr>
            <w:tcW w:type="dxa" w:w="6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User pools, identity pools, M365 federation, MFA management</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AWS SES</w:t>
            </w:r>
          </w:p>
        </w:tc>
        <w:tc>
          <w:tcPr>
            <w:tcW w:type="dxa" w:w="6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Client emails, system notifications, CS email channel</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AWS SNS</w:t>
            </w:r>
          </w:p>
        </w:tc>
        <w:tc>
          <w:tcPr>
            <w:tcW w:type="dxa" w:w="6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OTP SMS, push notifications, inter-service events</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AWS ECS Fargate</w:t>
            </w:r>
          </w:p>
        </w:tc>
        <w:tc>
          <w:tcPr>
            <w:tcW w:type="dxa" w:w="6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Containerized backend microservices (auto-scaling)</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AWS CloudFront</w:t>
            </w:r>
          </w:p>
        </w:tc>
        <w:tc>
          <w:tcPr>
            <w:tcW w:type="dxa" w:w="6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Signed URL delivery of S3 documents, React app hosting</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AWS API Gateway</w:t>
            </w:r>
          </w:p>
        </w:tc>
        <w:tc>
          <w:tcPr>
            <w:tcW w:type="dxa" w:w="6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Managed API layer with throttling, WAF, and logging</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AWS OpenSearch</w:t>
            </w:r>
          </w:p>
        </w:tc>
        <w:tc>
          <w:tcPr>
            <w:tcW w:type="dxa" w:w="6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Search across clients, deals, documents, interactions</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AWS CloudWatch</w:t>
            </w:r>
          </w:p>
        </w:tc>
        <w:tc>
          <w:tcPr>
            <w:tcW w:type="dxa" w:w="6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Centralized logging, alerting, and performance monitoring</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AWS Secrets Manager</w:t>
            </w:r>
          </w:p>
        </w:tc>
        <w:tc>
          <w:tcPr>
            <w:tcW w:type="dxa" w:w="6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Secure storage of API keys, DB credentials</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AWS WAF</w:t>
            </w:r>
          </w:p>
        </w:tc>
        <w:tc>
          <w:tcPr>
            <w:tcW w:type="dxa" w:w="6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Web Application Firewall protecting API Gateway and CloudFront</w:t>
            </w:r>
          </w:p>
        </w:tc>
      </w:tr>
    </w:tbl>
    <w:p>
      <w:pPr>
        <w:spacing w:before="60" w:after="60"/>
      </w:pPr>
      <w:r>
        <w:t xml:space="preserve"/>
      </w:r>
    </w:p>
    <w:p>
      <w:pPr>
        <w:pStyle w:val="Heading1"/>
        <w:pageBreakBefore/>
        <w:spacing w:before="360" w:after="180"/>
      </w:pPr>
      <w:r>
        <w:rPr>
          <w:rFonts w:ascii="Arial" w:cs="Arial" w:eastAsia="Arial" w:hAnsi="Arial"/>
          <w:b/>
          <w:bCs/>
          <w:color w:val="1B3A6B"/>
          <w:sz w:val="36"/>
          <w:szCs w:val="36"/>
        </w:rPr>
        <w:t xml:space="preserve">4. Authentication &amp; User Management</w:t>
      </w:r>
    </w:p>
    <w:p>
      <w:pPr>
        <w:pStyle w:val="Heading2"/>
        <w:pBdr>
          <w:bottom w:val="single" w:color="2E75B6" w:sz="4" w:space="4"/>
        </w:pBdr>
        <w:spacing w:before="280" w:after="140"/>
      </w:pPr>
      <w:r>
        <w:rPr>
          <w:rFonts w:ascii="Arial" w:cs="Arial" w:eastAsia="Arial" w:hAnsi="Arial"/>
          <w:b/>
          <w:bCs/>
          <w:color w:val="2E75B6"/>
          <w:sz w:val="28"/>
          <w:szCs w:val="28"/>
        </w:rPr>
        <w:t xml:space="preserve">4.1 Login Methods</w:t>
      </w:r>
    </w:p>
    <w:p>
      <w:pPr>
        <w:pStyle w:val="Heading3"/>
        <w:spacing w:before="200" w:after="100"/>
      </w:pPr>
      <w:r>
        <w:rPr>
          <w:rFonts w:ascii="Arial" w:cs="Arial" w:eastAsia="Arial" w:hAnsi="Arial"/>
          <w:b/>
          <w:bCs/>
          <w:color w:val="0D6E6E"/>
          <w:sz w:val="24"/>
          <w:szCs w:val="24"/>
        </w:rPr>
        <w:t xml:space="preserve">4.1.1 Microsoft 365 (M365) SSO</w:t>
      </w:r>
    </w:p>
    <w:p>
      <w:pPr>
        <w:pStyle w:val="ListParagraph"/>
        <w:numPr>
          <w:ilvl w:val="0"/>
          <w:numId w:val="2"/>
        </w:numPr>
        <w:spacing w:before="60" w:after="60"/>
      </w:pPr>
      <w:r>
        <w:rPr>
          <w:rFonts w:ascii="Arial" w:cs="Arial" w:eastAsia="Arial" w:hAnsi="Arial"/>
          <w:color w:val="1F2D3D"/>
          <w:sz w:val="20"/>
          <w:szCs w:val="20"/>
        </w:rPr>
        <w:t xml:space="preserve">SAML 2.0 / OAuth 2.0 integration with Azure Active Directory</w:t>
      </w:r>
    </w:p>
    <w:p>
      <w:pPr>
        <w:pStyle w:val="ListParagraph"/>
        <w:numPr>
          <w:ilvl w:val="0"/>
          <w:numId w:val="2"/>
        </w:numPr>
        <w:spacing w:before="60" w:after="60"/>
      </w:pPr>
      <w:r>
        <w:rPr>
          <w:rFonts w:ascii="Arial" w:cs="Arial" w:eastAsia="Arial" w:hAnsi="Arial"/>
          <w:color w:val="1F2D3D"/>
          <w:sz w:val="20"/>
          <w:szCs w:val="20"/>
        </w:rPr>
        <w:t xml:space="preserve">Single Sign-On for internal users — no separate password required</w:t>
      </w:r>
    </w:p>
    <w:p>
      <w:pPr>
        <w:pStyle w:val="ListParagraph"/>
        <w:numPr>
          <w:ilvl w:val="0"/>
          <w:numId w:val="2"/>
        </w:numPr>
        <w:spacing w:before="60" w:after="60"/>
      </w:pPr>
      <w:r>
        <w:rPr>
          <w:rFonts w:ascii="Arial" w:cs="Arial" w:eastAsia="Arial" w:hAnsi="Arial"/>
          <w:color w:val="1F2D3D"/>
          <w:sz w:val="20"/>
          <w:szCs w:val="20"/>
        </w:rPr>
        <w:t xml:space="preserve">Session token issued by AWS Cognito after M365 validation</w:t>
      </w:r>
    </w:p>
    <w:p>
      <w:pPr>
        <w:pStyle w:val="ListParagraph"/>
        <w:numPr>
          <w:ilvl w:val="0"/>
          <w:numId w:val="2"/>
        </w:numPr>
        <w:spacing w:before="60" w:after="60"/>
      </w:pPr>
      <w:r>
        <w:rPr>
          <w:rFonts w:ascii="Arial" w:cs="Arial" w:eastAsia="Arial" w:hAnsi="Arial"/>
          <w:color w:val="1F2D3D"/>
          <w:sz w:val="20"/>
          <w:szCs w:val="20"/>
        </w:rPr>
        <w:t xml:space="preserve">Automatic user provisioning on first M365 login (Just-In-Time provisioning)</w:t>
      </w:r>
    </w:p>
    <w:p>
      <w:pPr>
        <w:spacing w:before="60" w:after="60"/>
      </w:pPr>
      <w:r>
        <w:t xml:space="preserve"/>
      </w:r>
    </w:p>
    <w:p>
      <w:pPr>
        <w:pStyle w:val="Heading3"/>
        <w:spacing w:before="200" w:after="100"/>
      </w:pPr>
      <w:r>
        <w:rPr>
          <w:rFonts w:ascii="Arial" w:cs="Arial" w:eastAsia="Arial" w:hAnsi="Arial"/>
          <w:b/>
          <w:bCs/>
          <w:color w:val="0D6E6E"/>
          <w:sz w:val="24"/>
          <w:szCs w:val="24"/>
        </w:rPr>
        <w:t xml:space="preserve">4.1.2 Application Login (External / Internal Users)</w:t>
      </w:r>
    </w:p>
    <w:p>
      <w:pPr>
        <w:pStyle w:val="ListParagraph"/>
        <w:numPr>
          <w:ilvl w:val="0"/>
          <w:numId w:val="2"/>
        </w:numPr>
        <w:spacing w:before="60" w:after="60"/>
      </w:pPr>
      <w:r>
        <w:rPr>
          <w:rFonts w:ascii="Arial" w:cs="Arial" w:eastAsia="Arial" w:hAnsi="Arial"/>
          <w:color w:val="1F2D3D"/>
          <w:sz w:val="20"/>
          <w:szCs w:val="20"/>
        </w:rPr>
        <w:t xml:space="preserve">Username (User ID) + Password login</w:t>
      </w:r>
    </w:p>
    <w:p>
      <w:pPr>
        <w:pStyle w:val="ListParagraph"/>
        <w:numPr>
          <w:ilvl w:val="0"/>
          <w:numId w:val="2"/>
        </w:numPr>
        <w:spacing w:before="60" w:after="60"/>
      </w:pPr>
      <w:r>
        <w:rPr>
          <w:rFonts w:ascii="Arial" w:cs="Arial" w:eastAsia="Arial" w:hAnsi="Arial"/>
          <w:color w:val="1F2D3D"/>
          <w:sz w:val="20"/>
          <w:szCs w:val="20"/>
        </w:rPr>
        <w:t xml:space="preserve">Email OTP (6-digit, 5-minute expiry) sent via AWS SES as second factor</w:t>
      </w:r>
    </w:p>
    <w:p>
      <w:pPr>
        <w:pStyle w:val="ListParagraph"/>
        <w:numPr>
          <w:ilvl w:val="0"/>
          <w:numId w:val="2"/>
        </w:numPr>
        <w:spacing w:before="60" w:after="60"/>
      </w:pPr>
      <w:r>
        <w:rPr>
          <w:rFonts w:ascii="Arial" w:cs="Arial" w:eastAsia="Arial" w:hAnsi="Arial"/>
          <w:color w:val="1F2D3D"/>
          <w:sz w:val="20"/>
          <w:szCs w:val="20"/>
        </w:rPr>
        <w:t xml:space="preserve">OTP delivery via AWS SNS (SMS) as fallback</w:t>
      </w:r>
    </w:p>
    <w:p>
      <w:pPr>
        <w:pStyle w:val="ListParagraph"/>
        <w:numPr>
          <w:ilvl w:val="0"/>
          <w:numId w:val="2"/>
        </w:numPr>
        <w:spacing w:before="60" w:after="60"/>
      </w:pPr>
      <w:r>
        <w:rPr>
          <w:rFonts w:ascii="Arial" w:cs="Arial" w:eastAsia="Arial" w:hAnsi="Arial"/>
          <w:color w:val="1F2D3D"/>
          <w:sz w:val="20"/>
          <w:szCs w:val="20"/>
        </w:rPr>
        <w:t xml:space="preserve">Account lockout after 5 failed attempts with 30-minute cooldown</w:t>
      </w:r>
    </w:p>
    <w:p>
      <w:pPr>
        <w:pStyle w:val="ListParagraph"/>
        <w:numPr>
          <w:ilvl w:val="0"/>
          <w:numId w:val="2"/>
        </w:numPr>
        <w:spacing w:before="60" w:after="60"/>
      </w:pPr>
      <w:r>
        <w:rPr>
          <w:rFonts w:ascii="Arial" w:cs="Arial" w:eastAsia="Arial" w:hAnsi="Arial"/>
          <w:color w:val="1F2D3D"/>
          <w:sz w:val="20"/>
          <w:szCs w:val="20"/>
        </w:rPr>
        <w:t xml:space="preserve">Password policy: min 10 characters, uppercase, lowercase, number, special char, 90-day rotation</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4.2 Multi-Factor Authentication (MFA)</w:t>
      </w:r>
    </w:p>
    <w:p>
      <w:pPr>
        <w:pStyle w:val="ListParagraph"/>
        <w:numPr>
          <w:ilvl w:val="0"/>
          <w:numId w:val="2"/>
        </w:numPr>
        <w:spacing w:before="60" w:after="60"/>
      </w:pPr>
      <w:r>
        <w:rPr>
          <w:rFonts w:ascii="Arial" w:cs="Arial" w:eastAsia="Arial" w:hAnsi="Arial"/>
          <w:color w:val="1F2D3D"/>
          <w:sz w:val="20"/>
          <w:szCs w:val="20"/>
        </w:rPr>
        <w:t xml:space="preserve">MFA configurable at the Role level — specific roles mandate MFA</w:t>
      </w:r>
    </w:p>
    <w:p>
      <w:pPr>
        <w:pStyle w:val="ListParagraph"/>
        <w:numPr>
          <w:ilvl w:val="0"/>
          <w:numId w:val="2"/>
        </w:numPr>
        <w:spacing w:before="60" w:after="60"/>
      </w:pPr>
      <w:r>
        <w:rPr>
          <w:rFonts w:ascii="Arial" w:cs="Arial" w:eastAsia="Arial" w:hAnsi="Arial"/>
          <w:color w:val="1F2D3D"/>
          <w:sz w:val="20"/>
          <w:szCs w:val="20"/>
        </w:rPr>
        <w:t xml:space="preserve">MFA methods supported: TOTP (Google Authenticator, Microsoft Authenticator), Email OTP, SMS OTP</w:t>
      </w:r>
    </w:p>
    <w:p>
      <w:pPr>
        <w:pStyle w:val="ListParagraph"/>
        <w:numPr>
          <w:ilvl w:val="0"/>
          <w:numId w:val="2"/>
        </w:numPr>
        <w:spacing w:before="60" w:after="60"/>
      </w:pPr>
      <w:r>
        <w:rPr>
          <w:rFonts w:ascii="Arial" w:cs="Arial" w:eastAsia="Arial" w:hAnsi="Arial"/>
          <w:color w:val="1F2D3D"/>
          <w:sz w:val="20"/>
          <w:szCs w:val="20"/>
        </w:rPr>
        <w:t xml:space="preserve">MFA bypass allowlisting for trusted IP ranges (office networks)</w:t>
      </w:r>
    </w:p>
    <w:p>
      <w:pPr>
        <w:pStyle w:val="ListParagraph"/>
        <w:numPr>
          <w:ilvl w:val="0"/>
          <w:numId w:val="2"/>
        </w:numPr>
        <w:spacing w:before="60" w:after="60"/>
      </w:pPr>
      <w:r>
        <w:rPr>
          <w:rFonts w:ascii="Arial" w:cs="Arial" w:eastAsia="Arial" w:hAnsi="Arial"/>
          <w:color w:val="1F2D3D"/>
          <w:sz w:val="20"/>
          <w:szCs w:val="20"/>
        </w:rPr>
        <w:t xml:space="preserve">MFA enrollment flow on first login for MFA-required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rPr>
          <w:tblHeader/>
        </w:trPr>
        <w:tc>
          <w:tcPr>
            <w:tcW w:type="dxa" w:w="32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Role Category</w:t>
            </w:r>
          </w:p>
        </w:tc>
        <w:tc>
          <w:tcPr>
            <w:tcW w:type="dxa" w:w="21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MFA Required</w:t>
            </w:r>
          </w:p>
        </w:tc>
        <w:tc>
          <w:tcPr>
            <w:tcW w:type="dxa" w:w="40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MFA Method</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Super Admin</w:t>
            </w:r>
          </w:p>
        </w:tc>
        <w:tc>
          <w:tcPr>
            <w:tcW w:type="dxa" w:w="2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Yes – Mandatory</w:t>
            </w:r>
          </w:p>
        </w:tc>
        <w:tc>
          <w:tcPr>
            <w:tcW w:type="dxa" w:w="4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TOTP + Email OTP</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Compliance Officer</w:t>
            </w:r>
          </w:p>
        </w:tc>
        <w:tc>
          <w:tcPr>
            <w:tcW w:type="dxa" w:w="2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Yes – Mandatory</w:t>
            </w:r>
          </w:p>
        </w:tc>
        <w:tc>
          <w:tcPr>
            <w:tcW w:type="dxa" w:w="4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TOTP + Email OTP</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Investment Banker (Senior)</w:t>
            </w:r>
          </w:p>
        </w:tc>
        <w:tc>
          <w:tcPr>
            <w:tcW w:type="dxa" w:w="2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Yes – Mandatory</w:t>
            </w:r>
          </w:p>
        </w:tc>
        <w:tc>
          <w:tcPr>
            <w:tcW w:type="dxa" w:w="4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TOTP or SMS OTP</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Relationship Manager</w:t>
            </w:r>
          </w:p>
        </w:tc>
        <w:tc>
          <w:tcPr>
            <w:tcW w:type="dxa" w:w="2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Configurable</w:t>
            </w:r>
          </w:p>
        </w:tc>
        <w:tc>
          <w:tcPr>
            <w:tcW w:type="dxa" w:w="4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Email OTP or TOTP</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Customer Service Agent</w:t>
            </w:r>
          </w:p>
        </w:tc>
        <w:tc>
          <w:tcPr>
            <w:tcW w:type="dxa" w:w="2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Configurable</w:t>
            </w:r>
          </w:p>
        </w:tc>
        <w:tc>
          <w:tcPr>
            <w:tcW w:type="dxa" w:w="4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Email OTP</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External Client (Portal)</w:t>
            </w:r>
          </w:p>
        </w:tc>
        <w:tc>
          <w:tcPr>
            <w:tcW w:type="dxa" w:w="2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Yes – Mandatory</w:t>
            </w:r>
          </w:p>
        </w:tc>
        <w:tc>
          <w:tcPr>
            <w:tcW w:type="dxa" w:w="4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Email OTP or SMS OTP</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Read-Only Analyst</w:t>
            </w:r>
          </w:p>
        </w:tc>
        <w:tc>
          <w:tcPr>
            <w:tcW w:type="dxa" w:w="2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Configurable</w:t>
            </w:r>
          </w:p>
        </w:tc>
        <w:tc>
          <w:tcPr>
            <w:tcW w:type="dxa" w:w="4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Email OTP</w:t>
            </w:r>
          </w:p>
        </w:tc>
      </w:tr>
    </w:tbl>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4.3 User Types</w:t>
      </w:r>
    </w:p>
    <w:p>
      <w:pPr>
        <w:pStyle w:val="Heading3"/>
        <w:spacing w:before="200" w:after="100"/>
      </w:pPr>
      <w:r>
        <w:rPr>
          <w:rFonts w:ascii="Arial" w:cs="Arial" w:eastAsia="Arial" w:hAnsi="Arial"/>
          <w:b/>
          <w:bCs/>
          <w:color w:val="0D6E6E"/>
          <w:sz w:val="24"/>
          <w:szCs w:val="24"/>
        </w:rPr>
        <w:t xml:space="preserve">4.3.1 Internal Users</w:t>
      </w:r>
    </w:p>
    <w:p>
      <w:pPr>
        <w:pStyle w:val="ListParagraph"/>
        <w:numPr>
          <w:ilvl w:val="0"/>
          <w:numId w:val="2"/>
        </w:numPr>
        <w:spacing w:before="60" w:after="60"/>
      </w:pPr>
      <w:r>
        <w:rPr>
          <w:rFonts w:ascii="Arial" w:cs="Arial" w:eastAsia="Arial" w:hAnsi="Arial"/>
          <w:color w:val="1F2D3D"/>
          <w:sz w:val="20"/>
          <w:szCs w:val="20"/>
        </w:rPr>
        <w:t xml:space="preserve">Relationship Managers, Bankers, Analysts, Dealers, CS Agents, Compliance Officers, Management</w:t>
      </w:r>
    </w:p>
    <w:p>
      <w:pPr>
        <w:pStyle w:val="ListParagraph"/>
        <w:numPr>
          <w:ilvl w:val="0"/>
          <w:numId w:val="2"/>
        </w:numPr>
        <w:spacing w:before="60" w:after="60"/>
      </w:pPr>
      <w:r>
        <w:rPr>
          <w:rFonts w:ascii="Arial" w:cs="Arial" w:eastAsia="Arial" w:hAnsi="Arial"/>
          <w:color w:val="1F2D3D"/>
          <w:sz w:val="20"/>
          <w:szCs w:val="20"/>
        </w:rPr>
        <w:t xml:space="preserve">Provisioned via M365 SSO or Admin-created accounts</w:t>
      </w:r>
    </w:p>
    <w:p>
      <w:pPr>
        <w:pStyle w:val="ListParagraph"/>
        <w:numPr>
          <w:ilvl w:val="0"/>
          <w:numId w:val="2"/>
        </w:numPr>
        <w:spacing w:before="60" w:after="60"/>
      </w:pPr>
      <w:r>
        <w:rPr>
          <w:rFonts w:ascii="Arial" w:cs="Arial" w:eastAsia="Arial" w:hAnsi="Arial"/>
          <w:color w:val="1F2D3D"/>
          <w:sz w:val="20"/>
          <w:szCs w:val="20"/>
        </w:rPr>
        <w:t xml:space="preserve">Access to internal modules as per assigned roles</w:t>
      </w:r>
    </w:p>
    <w:p>
      <w:pPr>
        <w:spacing w:before="60" w:after="60"/>
      </w:pPr>
      <w:r>
        <w:t xml:space="preserve"/>
      </w:r>
    </w:p>
    <w:p>
      <w:pPr>
        <w:pStyle w:val="Heading3"/>
        <w:spacing w:before="200" w:after="100"/>
      </w:pPr>
      <w:r>
        <w:rPr>
          <w:rFonts w:ascii="Arial" w:cs="Arial" w:eastAsia="Arial" w:hAnsi="Arial"/>
          <w:b/>
          <w:bCs/>
          <w:color w:val="0D6E6E"/>
          <w:sz w:val="24"/>
          <w:szCs w:val="24"/>
        </w:rPr>
        <w:t xml:space="preserve">4.3.2 External Users</w:t>
      </w:r>
    </w:p>
    <w:p>
      <w:pPr>
        <w:pStyle w:val="ListParagraph"/>
        <w:numPr>
          <w:ilvl w:val="0"/>
          <w:numId w:val="2"/>
        </w:numPr>
        <w:spacing w:before="60" w:after="60"/>
      </w:pPr>
      <w:r>
        <w:rPr>
          <w:rFonts w:ascii="Arial" w:cs="Arial" w:eastAsia="Arial" w:hAnsi="Arial"/>
          <w:color w:val="1F2D3D"/>
          <w:sz w:val="20"/>
          <w:szCs w:val="20"/>
        </w:rPr>
        <w:t xml:space="preserve">Clients with access to Client Portal (self-service, document download, SR submission)</w:t>
      </w:r>
    </w:p>
    <w:p>
      <w:pPr>
        <w:pStyle w:val="ListParagraph"/>
        <w:numPr>
          <w:ilvl w:val="0"/>
          <w:numId w:val="2"/>
        </w:numPr>
        <w:spacing w:before="60" w:after="60"/>
      </w:pPr>
      <w:r>
        <w:rPr>
          <w:rFonts w:ascii="Arial" w:cs="Arial" w:eastAsia="Arial" w:hAnsi="Arial"/>
          <w:color w:val="1F2D3D"/>
          <w:sz w:val="20"/>
          <w:szCs w:val="20"/>
        </w:rPr>
        <w:t xml:space="preserve">Registered via onboarding workflow with KYC validation</w:t>
      </w:r>
    </w:p>
    <w:p>
      <w:pPr>
        <w:pStyle w:val="ListParagraph"/>
        <w:numPr>
          <w:ilvl w:val="0"/>
          <w:numId w:val="2"/>
        </w:numPr>
        <w:spacing w:before="60" w:after="60"/>
      </w:pPr>
      <w:r>
        <w:rPr>
          <w:rFonts w:ascii="Arial" w:cs="Arial" w:eastAsia="Arial" w:hAnsi="Arial"/>
          <w:color w:val="1F2D3D"/>
          <w:sz w:val="20"/>
          <w:szCs w:val="20"/>
        </w:rPr>
        <w:t xml:space="preserve">Restricted to their own data — row-level security enforced in PostgreSQL</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4.4 Role-Based Access Control (RBAC)</w:t>
      </w:r>
    </w:p>
    <w:p>
      <w:pPr>
        <w:pStyle w:val="ListParagraph"/>
        <w:numPr>
          <w:ilvl w:val="0"/>
          <w:numId w:val="2"/>
        </w:numPr>
        <w:spacing w:before="60" w:after="60"/>
      </w:pPr>
      <w:r>
        <w:rPr>
          <w:rFonts w:ascii="Arial" w:cs="Arial" w:eastAsia="Arial" w:hAnsi="Arial"/>
          <w:color w:val="1F2D3D"/>
          <w:sz w:val="20"/>
          <w:szCs w:val="20"/>
        </w:rPr>
        <w:t xml:space="preserve">Each user can have multiple roles simultaneously</w:t>
      </w:r>
    </w:p>
    <w:p>
      <w:pPr>
        <w:pStyle w:val="ListParagraph"/>
        <w:numPr>
          <w:ilvl w:val="0"/>
          <w:numId w:val="2"/>
        </w:numPr>
        <w:spacing w:before="60" w:after="60"/>
      </w:pPr>
      <w:r>
        <w:rPr>
          <w:rFonts w:ascii="Arial" w:cs="Arial" w:eastAsia="Arial" w:hAnsi="Arial"/>
          <w:color w:val="1F2D3D"/>
          <w:sz w:val="20"/>
          <w:szCs w:val="20"/>
        </w:rPr>
        <w:t xml:space="preserve">Permissions are additive across roles — role with higher privilege wins for a given resource</w:t>
      </w:r>
    </w:p>
    <w:p>
      <w:pPr>
        <w:pStyle w:val="ListParagraph"/>
        <w:numPr>
          <w:ilvl w:val="0"/>
          <w:numId w:val="2"/>
        </w:numPr>
        <w:spacing w:before="60" w:after="60"/>
      </w:pPr>
      <w:r>
        <w:rPr>
          <w:rFonts w:ascii="Arial" w:cs="Arial" w:eastAsia="Arial" w:hAnsi="Arial"/>
          <w:color w:val="1F2D3D"/>
          <w:sz w:val="20"/>
          <w:szCs w:val="20"/>
        </w:rPr>
        <w:t xml:space="preserve">Custom roles creation by Super Admin — define module access, action permissions (Create/Read/Update/Delete/Export)</w:t>
      </w:r>
    </w:p>
    <w:p>
      <w:pPr>
        <w:pStyle w:val="ListParagraph"/>
        <w:numPr>
          <w:ilvl w:val="0"/>
          <w:numId w:val="2"/>
        </w:numPr>
        <w:spacing w:before="60" w:after="60"/>
      </w:pPr>
      <w:r>
        <w:rPr>
          <w:rFonts w:ascii="Arial" w:cs="Arial" w:eastAsia="Arial" w:hAnsi="Arial"/>
          <w:color w:val="1F2D3D"/>
          <w:sz w:val="20"/>
          <w:szCs w:val="20"/>
        </w:rPr>
        <w:t xml:space="preserve">Role assignment audit log — who assigned what role, when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Default Role</w:t>
            </w:r>
          </w:p>
        </w:tc>
        <w:tc>
          <w:tcPr>
            <w:tcW w:type="dxa" w:w="32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Module Access</w:t>
            </w:r>
          </w:p>
        </w:tc>
        <w:tc>
          <w:tcPr>
            <w:tcW w:type="dxa" w:w="35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Key Permissions</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Super Admin</w:t>
            </w:r>
          </w:p>
        </w:tc>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All Modules</w:t>
            </w:r>
          </w:p>
        </w:tc>
        <w:tc>
          <w:tcPr>
            <w:tcW w:type="dxa" w:w="35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Full CRUD, User Mgmt, Role Config, Audit Access</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Business Head</w:t>
            </w:r>
          </w:p>
        </w:tc>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Own Business Unit + Dashboards</w:t>
            </w:r>
          </w:p>
        </w:tc>
        <w:tc>
          <w:tcPr>
            <w:tcW w:type="dxa" w:w="35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Read All, Approve Deals, Export Reports</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Relationship Manager</w:t>
            </w:r>
          </w:p>
        </w:tc>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Clients, Leads, Deals, CS</w:t>
            </w:r>
          </w:p>
        </w:tc>
        <w:tc>
          <w:tcPr>
            <w:tcW w:type="dxa" w:w="35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CRUD on own assignments</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Investment Banker</w:t>
            </w:r>
          </w:p>
        </w:tc>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IB Module, Deals, Pitch Tracker</w:t>
            </w:r>
          </w:p>
        </w:tc>
        <w:tc>
          <w:tcPr>
            <w:tcW w:type="dxa" w:w="35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CRUD Deals, View Compliance Logs</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Compliance Officer</w:t>
            </w:r>
          </w:p>
        </w:tc>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Compliance, Audit, Wall-Crossing</w:t>
            </w:r>
          </w:p>
        </w:tc>
        <w:tc>
          <w:tcPr>
            <w:tcW w:type="dxa" w:w="35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CRUD Compliance, Read All Deals</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CS Agent</w:t>
            </w:r>
          </w:p>
        </w:tc>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CS Module, SR Module</w:t>
            </w:r>
          </w:p>
        </w:tc>
        <w:tc>
          <w:tcPr>
            <w:tcW w:type="dxa" w:w="35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CRUD Service Requests, View Client Profile</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CS Team Lead</w:t>
            </w:r>
          </w:p>
        </w:tc>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CS Module, SR Dashboards</w:t>
            </w:r>
          </w:p>
        </w:tc>
        <w:tc>
          <w:tcPr>
            <w:tcW w:type="dxa" w:w="35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Assign/Escalate SRs, View Team Metrics</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Analyst</w:t>
            </w:r>
          </w:p>
        </w:tc>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Client Profiles, Research, Reports</w:t>
            </w:r>
          </w:p>
        </w:tc>
        <w:tc>
          <w:tcPr>
            <w:tcW w:type="dxa" w:w="35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Read-Only + Create Notes</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External Client</w:t>
            </w:r>
          </w:p>
        </w:tc>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Client Portal Only</w:t>
            </w:r>
          </w:p>
        </w:tc>
        <w:tc>
          <w:tcPr>
            <w:tcW w:type="dxa" w:w="35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View own docs, Submit SRs, Update profile</w:t>
            </w:r>
          </w:p>
        </w:tc>
      </w:tr>
    </w:tbl>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4.5 User Lifecycle Management</w:t>
      </w:r>
    </w:p>
    <w:p>
      <w:pPr>
        <w:pStyle w:val="ListParagraph"/>
        <w:numPr>
          <w:ilvl w:val="0"/>
          <w:numId w:val="2"/>
        </w:numPr>
        <w:spacing w:before="60" w:after="60"/>
      </w:pPr>
      <w:r>
        <w:rPr>
          <w:rFonts w:ascii="Arial" w:cs="Arial" w:eastAsia="Arial" w:hAnsi="Arial"/>
          <w:color w:val="1F2D3D"/>
          <w:sz w:val="20"/>
          <w:szCs w:val="20"/>
        </w:rPr>
        <w:t xml:space="preserve">User creation by Admin with mandatory profile fields: Name, Employee ID, Email, Department, Business Unit, Manager</w:t>
      </w:r>
    </w:p>
    <w:p>
      <w:pPr>
        <w:pStyle w:val="ListParagraph"/>
        <w:numPr>
          <w:ilvl w:val="0"/>
          <w:numId w:val="2"/>
        </w:numPr>
        <w:spacing w:before="60" w:after="60"/>
      </w:pPr>
      <w:r>
        <w:rPr>
          <w:rFonts w:ascii="Arial" w:cs="Arial" w:eastAsia="Arial" w:hAnsi="Arial"/>
          <w:color w:val="1F2D3D"/>
          <w:sz w:val="20"/>
          <w:szCs w:val="20"/>
        </w:rPr>
        <w:t xml:space="preserve">Bulk user import via CSV with validation and error reporting</w:t>
      </w:r>
    </w:p>
    <w:p>
      <w:pPr>
        <w:pStyle w:val="ListParagraph"/>
        <w:numPr>
          <w:ilvl w:val="0"/>
          <w:numId w:val="2"/>
        </w:numPr>
        <w:spacing w:before="60" w:after="60"/>
      </w:pPr>
      <w:r>
        <w:rPr>
          <w:rFonts w:ascii="Arial" w:cs="Arial" w:eastAsia="Arial" w:hAnsi="Arial"/>
          <w:color w:val="1F2D3D"/>
          <w:sz w:val="20"/>
          <w:szCs w:val="20"/>
        </w:rPr>
        <w:t xml:space="preserve">Role assignment workflow — request → manager approval → admin assignment</w:t>
      </w:r>
    </w:p>
    <w:p>
      <w:pPr>
        <w:pStyle w:val="ListParagraph"/>
        <w:numPr>
          <w:ilvl w:val="0"/>
          <w:numId w:val="2"/>
        </w:numPr>
        <w:spacing w:before="60" w:after="60"/>
      </w:pPr>
      <w:r>
        <w:rPr>
          <w:rFonts w:ascii="Arial" w:cs="Arial" w:eastAsia="Arial" w:hAnsi="Arial"/>
          <w:color w:val="1F2D3D"/>
          <w:sz w:val="20"/>
          <w:szCs w:val="20"/>
        </w:rPr>
        <w:t xml:space="preserve">User deactivation on exit; session revocation within 5 minutes via AWS Cognito</w:t>
      </w:r>
    </w:p>
    <w:p>
      <w:pPr>
        <w:pStyle w:val="ListParagraph"/>
        <w:numPr>
          <w:ilvl w:val="0"/>
          <w:numId w:val="2"/>
        </w:numPr>
        <w:spacing w:before="60" w:after="60"/>
      </w:pPr>
      <w:r>
        <w:rPr>
          <w:rFonts w:ascii="Arial" w:cs="Arial" w:eastAsia="Arial" w:hAnsi="Arial"/>
          <w:color w:val="1F2D3D"/>
          <w:sz w:val="20"/>
          <w:szCs w:val="20"/>
        </w:rPr>
        <w:t xml:space="preserve">Annual role recertification — managers confirm or revoke user roles</w:t>
      </w:r>
    </w:p>
    <w:p>
      <w:pPr>
        <w:spacing w:before="60" w:after="60"/>
      </w:pPr>
      <w:r>
        <w:t xml:space="preserve"/>
      </w:r>
    </w:p>
    <w:p>
      <w:pPr>
        <w:pStyle w:val="Heading1"/>
        <w:pageBreakBefore/>
        <w:spacing w:before="360" w:after="180"/>
      </w:pPr>
      <w:r>
        <w:rPr>
          <w:rFonts w:ascii="Arial" w:cs="Arial" w:eastAsia="Arial" w:hAnsi="Arial"/>
          <w:b/>
          <w:bCs/>
          <w:color w:val="1B3A6B"/>
          <w:sz w:val="36"/>
          <w:szCs w:val="36"/>
        </w:rPr>
        <w:t xml:space="preserve">5. Core CRM – Client &amp; Relationship Management</w:t>
      </w:r>
    </w:p>
    <w:p>
      <w:pPr>
        <w:spacing w:before="80" w:after="80"/>
      </w:pPr>
      <w:r>
        <w:rPr>
          <w:rFonts w:ascii="Arial" w:cs="Arial" w:eastAsia="Arial" w:hAnsi="Arial"/>
          <w:color w:val="1F2D3D"/>
          <w:sz w:val="20"/>
          <w:szCs w:val="20"/>
        </w:rPr>
        <w:t xml:space="preserve">The Core CRM layer is a shared foundation across all business modules. It provides the Client 360 profile, relationship hierarchy, interaction logging, and shared data entities referenced by all vertical modules.</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5.1 Client 360 Profile</w:t>
      </w:r>
    </w:p>
    <w:p>
      <w:pPr>
        <w:pStyle w:val="ListParagraph"/>
        <w:numPr>
          <w:ilvl w:val="0"/>
          <w:numId w:val="2"/>
        </w:numPr>
        <w:spacing w:before="60" w:after="60"/>
      </w:pPr>
      <w:r>
        <w:rPr>
          <w:rFonts w:ascii="Arial" w:cs="Arial" w:eastAsia="Arial" w:hAnsi="Arial"/>
          <w:color w:val="1F2D3D"/>
          <w:sz w:val="20"/>
          <w:szCs w:val="20"/>
        </w:rPr>
        <w:t xml:space="preserve">Unified client profile spanning all business lines (Retail, IB, Institutional, AIF, Corporate)</w:t>
      </w:r>
    </w:p>
    <w:p>
      <w:pPr>
        <w:pStyle w:val="ListParagraph"/>
        <w:numPr>
          <w:ilvl w:val="0"/>
          <w:numId w:val="2"/>
        </w:numPr>
        <w:spacing w:before="60" w:after="60"/>
      </w:pPr>
      <w:r>
        <w:rPr>
          <w:rFonts w:ascii="Arial" w:cs="Arial" w:eastAsia="Arial" w:hAnsi="Arial"/>
          <w:color w:val="1F2D3D"/>
          <w:sz w:val="20"/>
          <w:szCs w:val="20"/>
        </w:rPr>
        <w:t xml:space="preserve">Client type classification: Individual, HNI, UHNI, Corporate, Institutional (Asset Manager, Hedge Fund, Pension Fund, Sovereign Wealth Fund)</w:t>
      </w:r>
    </w:p>
    <w:p>
      <w:pPr>
        <w:pStyle w:val="ListParagraph"/>
        <w:numPr>
          <w:ilvl w:val="0"/>
          <w:numId w:val="2"/>
        </w:numPr>
        <w:spacing w:before="60" w:after="60"/>
      </w:pPr>
      <w:r>
        <w:rPr>
          <w:rFonts w:ascii="Arial" w:cs="Arial" w:eastAsia="Arial" w:hAnsi="Arial"/>
          <w:color w:val="1F2D3D"/>
          <w:sz w:val="20"/>
          <w:szCs w:val="20"/>
        </w:rPr>
        <w:t xml:space="preserve">AUM tracking, mandates, investment objectives, risk profile, and regulatory classification</w:t>
      </w:r>
    </w:p>
    <w:p>
      <w:pPr>
        <w:pStyle w:val="ListParagraph"/>
        <w:numPr>
          <w:ilvl w:val="0"/>
          <w:numId w:val="2"/>
        </w:numPr>
        <w:spacing w:before="60" w:after="60"/>
      </w:pPr>
      <w:r>
        <w:rPr>
          <w:rFonts w:ascii="Arial" w:cs="Arial" w:eastAsia="Arial" w:hAnsi="Arial"/>
          <w:color w:val="1F2D3D"/>
          <w:sz w:val="20"/>
          <w:szCs w:val="20"/>
        </w:rPr>
        <w:t xml:space="preserve">KYC status, onboarding date, last review date, and compliance flags</w:t>
      </w:r>
    </w:p>
    <w:p>
      <w:pPr>
        <w:pStyle w:val="ListParagraph"/>
        <w:numPr>
          <w:ilvl w:val="0"/>
          <w:numId w:val="2"/>
        </w:numPr>
        <w:spacing w:before="60" w:after="60"/>
      </w:pPr>
      <w:r>
        <w:rPr>
          <w:rFonts w:ascii="Arial" w:cs="Arial" w:eastAsia="Arial" w:hAnsi="Arial"/>
          <w:color w:val="1F2D3D"/>
          <w:sz w:val="20"/>
          <w:szCs w:val="20"/>
        </w:rPr>
        <w:t xml:space="preserve">Key contacts per institution: Decision makers, analysts, PMs, traders, C-suite</w:t>
      </w:r>
    </w:p>
    <w:p>
      <w:pPr>
        <w:pStyle w:val="ListParagraph"/>
        <w:numPr>
          <w:ilvl w:val="0"/>
          <w:numId w:val="2"/>
        </w:numPr>
        <w:spacing w:before="60" w:after="60"/>
      </w:pPr>
      <w:r>
        <w:rPr>
          <w:rFonts w:ascii="Arial" w:cs="Arial" w:eastAsia="Arial" w:hAnsi="Arial"/>
          <w:color w:val="1F2D3D"/>
          <w:sz w:val="20"/>
          <w:szCs w:val="20"/>
        </w:rPr>
        <w:t xml:space="preserve">Contact hierarchy mapping: Primary RM, Secondary RM, Banker coverage, Research coverage</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5.2 Relationship Hierarchy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Hierarchy Level</w:t>
            </w:r>
          </w:p>
        </w:tc>
        <w:tc>
          <w:tcPr>
            <w:tcW w:type="dxa" w:w="26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Role</w:t>
            </w:r>
          </w:p>
        </w:tc>
        <w:tc>
          <w:tcPr>
            <w:tcW w:type="dxa" w:w="41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Visibility</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Institution Level</w:t>
            </w:r>
          </w:p>
        </w:tc>
        <w:tc>
          <w:tcPr>
            <w:tcW w:type="dxa" w:w="26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Primary RM</w:t>
            </w:r>
          </w:p>
        </w:tc>
        <w:tc>
          <w:tcPr>
            <w:tcW w:type="dxa" w:w="4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Account owner, full edit rights</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Institution Level</w:t>
            </w:r>
          </w:p>
        </w:tc>
        <w:tc>
          <w:tcPr>
            <w:tcW w:type="dxa" w:w="26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Coverage Team</w:t>
            </w:r>
          </w:p>
        </w:tc>
        <w:tc>
          <w:tcPr>
            <w:tcW w:type="dxa" w:w="4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Read + interaction log rights</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Contact Level</w:t>
            </w:r>
          </w:p>
        </w:tc>
        <w:tc>
          <w:tcPr>
            <w:tcW w:type="dxa" w:w="26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Decision Maker</w:t>
            </w:r>
          </w:p>
        </w:tc>
        <w:tc>
          <w:tcPr>
            <w:tcW w:type="dxa" w:w="4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Linked to deal approvals</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Contact Level</w:t>
            </w:r>
          </w:p>
        </w:tc>
        <w:tc>
          <w:tcPr>
            <w:tcW w:type="dxa" w:w="26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Analyst / PM / Trader</w:t>
            </w:r>
          </w:p>
        </w:tc>
        <w:tc>
          <w:tcPr>
            <w:tcW w:type="dxa" w:w="4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Linked to research distribution</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Contact Level</w:t>
            </w:r>
          </w:p>
        </w:tc>
        <w:tc>
          <w:tcPr>
            <w:tcW w:type="dxa" w:w="26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C-Suite</w:t>
            </w:r>
          </w:p>
        </w:tc>
        <w:tc>
          <w:tcPr>
            <w:tcW w:type="dxa" w:w="4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Linked to corporate access events</w:t>
            </w:r>
          </w:p>
        </w:tc>
      </w:tr>
    </w:tbl>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5.3 Interaction Logging</w:t>
      </w:r>
    </w:p>
    <w:p>
      <w:pPr>
        <w:pStyle w:val="ListParagraph"/>
        <w:numPr>
          <w:ilvl w:val="0"/>
          <w:numId w:val="2"/>
        </w:numPr>
        <w:spacing w:before="60" w:after="60"/>
      </w:pPr>
      <w:r>
        <w:rPr>
          <w:rFonts w:ascii="Arial" w:cs="Arial" w:eastAsia="Arial" w:hAnsi="Arial"/>
          <w:color w:val="1F2D3D"/>
          <w:sz w:val="20"/>
          <w:szCs w:val="20"/>
        </w:rPr>
        <w:t xml:space="preserve">All interactions auto-captured or manually logged: Calls, Meetings, Emails (Outlook sync), Roadshows, NDRs, Bloomberg messages</w:t>
      </w:r>
    </w:p>
    <w:p>
      <w:pPr>
        <w:pStyle w:val="ListParagraph"/>
        <w:numPr>
          <w:ilvl w:val="0"/>
          <w:numId w:val="2"/>
        </w:numPr>
        <w:spacing w:before="60" w:after="60"/>
      </w:pPr>
      <w:r>
        <w:rPr>
          <w:rFonts w:ascii="Arial" w:cs="Arial" w:eastAsia="Arial" w:hAnsi="Arial"/>
          <w:color w:val="1F2D3D"/>
          <w:sz w:val="20"/>
          <w:szCs w:val="20"/>
        </w:rPr>
        <w:t xml:space="preserve">Interaction record fields: Type, Date/Time, Attendees, Summary, Follow-up actions, Deal linkage</w:t>
      </w:r>
    </w:p>
    <w:p>
      <w:pPr>
        <w:pStyle w:val="ListParagraph"/>
        <w:numPr>
          <w:ilvl w:val="0"/>
          <w:numId w:val="2"/>
        </w:numPr>
        <w:spacing w:before="60" w:after="60"/>
      </w:pPr>
      <w:r>
        <w:rPr>
          <w:rFonts w:ascii="Arial" w:cs="Arial" w:eastAsia="Arial" w:hAnsi="Arial"/>
          <w:color w:val="1F2D3D"/>
          <w:sz w:val="20"/>
          <w:szCs w:val="20"/>
        </w:rPr>
        <w:t xml:space="preserve">Auto-email capture via Outlook Graph API — emails to/from client auto-linked to client profile</w:t>
      </w:r>
    </w:p>
    <w:p>
      <w:pPr>
        <w:pStyle w:val="ListParagraph"/>
        <w:numPr>
          <w:ilvl w:val="0"/>
          <w:numId w:val="2"/>
        </w:numPr>
        <w:spacing w:before="60" w:after="60"/>
      </w:pPr>
      <w:r>
        <w:rPr>
          <w:rFonts w:ascii="Arial" w:cs="Arial" w:eastAsia="Arial" w:hAnsi="Arial"/>
          <w:color w:val="1F2D3D"/>
          <w:sz w:val="20"/>
          <w:szCs w:val="20"/>
        </w:rPr>
        <w:t xml:space="preserve">Call logging via integrated telephony (CTI) — auto-create interaction record on call end</w:t>
      </w:r>
    </w:p>
    <w:p>
      <w:pPr>
        <w:pStyle w:val="ListParagraph"/>
        <w:numPr>
          <w:ilvl w:val="0"/>
          <w:numId w:val="2"/>
        </w:numPr>
        <w:spacing w:before="60" w:after="60"/>
      </w:pPr>
      <w:r>
        <w:rPr>
          <w:rFonts w:ascii="Arial" w:cs="Arial" w:eastAsia="Arial" w:hAnsi="Arial"/>
          <w:color w:val="1F2D3D"/>
          <w:sz w:val="20"/>
          <w:szCs w:val="20"/>
        </w:rPr>
        <w:t xml:space="preserve">Interaction timeline view on client profile — chronological feed with filters</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5.4 Coverage Model</w:t>
      </w:r>
    </w:p>
    <w:p>
      <w:pPr>
        <w:pStyle w:val="ListParagraph"/>
        <w:numPr>
          <w:ilvl w:val="0"/>
          <w:numId w:val="2"/>
        </w:numPr>
        <w:spacing w:before="60" w:after="60"/>
      </w:pPr>
      <w:r>
        <w:rPr>
          <w:rFonts w:ascii="Arial" w:cs="Arial" w:eastAsia="Arial" w:hAnsi="Arial"/>
          <w:color w:val="1F2D3D"/>
          <w:sz w:val="20"/>
          <w:szCs w:val="20"/>
        </w:rPr>
        <w:t xml:space="preserve">Coverage assignment: RM/Banker assigned to clients with start date and status (Active, Transition, Inactive)</w:t>
      </w:r>
    </w:p>
    <w:p>
      <w:pPr>
        <w:pStyle w:val="ListParagraph"/>
        <w:numPr>
          <w:ilvl w:val="0"/>
          <w:numId w:val="2"/>
        </w:numPr>
        <w:spacing w:before="60" w:after="60"/>
      </w:pPr>
      <w:r>
        <w:rPr>
          <w:rFonts w:ascii="Arial" w:cs="Arial" w:eastAsia="Arial" w:hAnsi="Arial"/>
          <w:color w:val="1F2D3D"/>
          <w:sz w:val="20"/>
          <w:szCs w:val="20"/>
        </w:rPr>
        <w:t xml:space="preserve">Conflict of interest check: System alerts when assigning RM across conflicting business lines</w:t>
      </w:r>
    </w:p>
    <w:p>
      <w:pPr>
        <w:pStyle w:val="ListParagraph"/>
        <w:numPr>
          <w:ilvl w:val="0"/>
          <w:numId w:val="2"/>
        </w:numPr>
        <w:spacing w:before="60" w:after="60"/>
      </w:pPr>
      <w:r>
        <w:rPr>
          <w:rFonts w:ascii="Arial" w:cs="Arial" w:eastAsia="Arial" w:hAnsi="Arial"/>
          <w:color w:val="1F2D3D"/>
          <w:sz w:val="20"/>
          <w:szCs w:val="20"/>
        </w:rPr>
        <w:t xml:space="preserve">Coverage gaps report: Clients with no interaction in 30/60/90 days</w:t>
      </w:r>
    </w:p>
    <w:p>
      <w:pPr>
        <w:pStyle w:val="ListParagraph"/>
        <w:numPr>
          <w:ilvl w:val="0"/>
          <w:numId w:val="2"/>
        </w:numPr>
        <w:spacing w:before="60" w:after="60"/>
      </w:pPr>
      <w:r>
        <w:rPr>
          <w:rFonts w:ascii="Arial" w:cs="Arial" w:eastAsia="Arial" w:hAnsi="Arial"/>
          <w:color w:val="1F2D3D"/>
          <w:sz w:val="20"/>
          <w:szCs w:val="20"/>
        </w:rPr>
        <w:t xml:space="preserve">Auto-notifications to manager when coverage gaps exceed threshold</w:t>
      </w:r>
    </w:p>
    <w:p>
      <w:pPr>
        <w:spacing w:before="60" w:after="60"/>
      </w:pPr>
      <w:r>
        <w:t xml:space="preserve"/>
      </w:r>
    </w:p>
    <w:p>
      <w:pPr>
        <w:pStyle w:val="Heading1"/>
        <w:pageBreakBefore/>
        <w:spacing w:before="360" w:after="180"/>
      </w:pPr>
      <w:r>
        <w:rPr>
          <w:rFonts w:ascii="Arial" w:cs="Arial" w:eastAsia="Arial" w:hAnsi="Arial"/>
          <w:b/>
          <w:bCs/>
          <w:color w:val="1B3A6B"/>
          <w:sz w:val="36"/>
          <w:szCs w:val="36"/>
        </w:rPr>
        <w:t xml:space="preserve">6. Module 1: Retail Broking CRM</w:t>
      </w:r>
    </w:p>
    <w:p>
      <w:pPr>
        <w:pStyle w:val="Heading2"/>
        <w:pBdr>
          <w:bottom w:val="single" w:color="2E75B6" w:sz="4" w:space="4"/>
        </w:pBdr>
        <w:spacing w:before="280" w:after="140"/>
      </w:pPr>
      <w:r>
        <w:rPr>
          <w:rFonts w:ascii="Arial" w:cs="Arial" w:eastAsia="Arial" w:hAnsi="Arial"/>
          <w:b/>
          <w:bCs/>
          <w:color w:val="2E75B6"/>
          <w:sz w:val="28"/>
          <w:szCs w:val="28"/>
        </w:rPr>
        <w:t xml:space="preserve">6.1 Module Overview</w:t>
      </w:r>
    </w:p>
    <w:p>
      <w:pPr>
        <w:spacing w:before="80" w:after="80"/>
      </w:pPr>
      <w:r>
        <w:rPr>
          <w:rFonts w:ascii="Arial" w:cs="Arial" w:eastAsia="Arial" w:hAnsi="Arial"/>
          <w:color w:val="1F2D3D"/>
          <w:sz w:val="20"/>
          <w:szCs w:val="20"/>
        </w:rPr>
        <w:t xml:space="preserve">The Retail Broking CRM module manages the complete lifecycle of individual retail investors and traders — from initial lead capture through account opening, activation, and ongoing relationship management. It serves Relationship Managers, Dealers, Branch Managers, and Customer Service teams in the retail segment.</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6.2 Lead-to-Closure Workflow – Retail Broking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75B6" w:sz="1"/>
              <w:left w:val="single" w:color="2E75B6" w:sz="1"/>
              <w:bottom w:val="single" w:color="2E75B6" w:sz="1"/>
              <w:right w:val="single" w:color="2E75B6" w:sz="1"/>
            </w:tcBorders>
            <w:shd w:fill="1B3A6B" w:val="clear"/>
            <w:tcMar>
              <w:top w:type="dxa" w:w="100"/>
              <w:left w:type="dxa" w:w="100"/>
              <w:bottom w:type="dxa" w:w="100"/>
              <w:right w:type="dxa" w:w="100"/>
            </w:tcMar>
          </w:tcPr>
          <w:p>
            <w:pPr>
              <w:jc w:val="center"/>
            </w:pPr>
            <w:r>
              <w:rPr>
                <w:rFonts w:ascii="Arial" w:cs="Arial" w:eastAsia="Arial" w:hAnsi="Arial"/>
                <w:b/>
                <w:bCs/>
                <w:color w:val="D6E4F0"/>
                <w:sz w:val="16"/>
                <w:szCs w:val="16"/>
              </w:rPr>
              <w:t xml:space="preserve">Step 1</w:t>
            </w:r>
          </w:p>
          <w:p>
            <w:pPr>
              <w:jc w:val="center"/>
            </w:pPr>
            <w:r>
              <w:rPr>
                <w:rFonts w:ascii="Arial" w:cs="Arial" w:eastAsia="Arial" w:hAnsi="Arial"/>
                <w:b/>
                <w:bCs/>
                <w:color w:val="FFFFFF"/>
                <w:sz w:val="18"/>
                <w:szCs w:val="18"/>
              </w:rPr>
              <w:t xml:space="preserve">Lead Capture</w:t>
            </w:r>
          </w:p>
        </w:tc>
        <w:tc>
          <w:tcPr>
            <w:tcW w:type="dxa" w:w="1872"/>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rFonts w:ascii="Arial" w:cs="Arial" w:eastAsia="Arial" w:hAnsi="Arial"/>
                <w:b/>
                <w:bCs/>
                <w:color w:val="D6E4F0"/>
                <w:sz w:val="16"/>
                <w:szCs w:val="16"/>
              </w:rPr>
              <w:t xml:space="preserve">Step 2</w:t>
            </w:r>
          </w:p>
          <w:p>
            <w:pPr>
              <w:jc w:val="center"/>
            </w:pPr>
            <w:r>
              <w:rPr>
                <w:rFonts w:ascii="Arial" w:cs="Arial" w:eastAsia="Arial" w:hAnsi="Arial"/>
                <w:b/>
                <w:bCs/>
                <w:color w:val="FFFFFF"/>
                <w:sz w:val="18"/>
                <w:szCs w:val="18"/>
              </w:rPr>
              <w:t xml:space="preserve">Lead Qualification</w:t>
            </w:r>
          </w:p>
        </w:tc>
        <w:tc>
          <w:tcPr>
            <w:tcW w:type="dxa" w:w="1872"/>
            <w:tcBorders>
              <w:top w:val="single" w:color="2E75B6" w:sz="1"/>
              <w:left w:val="single" w:color="2E75B6" w:sz="1"/>
              <w:bottom w:val="single" w:color="2E75B6" w:sz="1"/>
              <w:right w:val="single" w:color="2E75B6" w:sz="1"/>
            </w:tcBorders>
            <w:shd w:fill="1B3A6B" w:val="clear"/>
            <w:tcMar>
              <w:top w:type="dxa" w:w="100"/>
              <w:left w:type="dxa" w:w="100"/>
              <w:bottom w:type="dxa" w:w="100"/>
              <w:right w:type="dxa" w:w="100"/>
            </w:tcMar>
          </w:tcPr>
          <w:p>
            <w:pPr>
              <w:jc w:val="center"/>
            </w:pPr>
            <w:r>
              <w:rPr>
                <w:rFonts w:ascii="Arial" w:cs="Arial" w:eastAsia="Arial" w:hAnsi="Arial"/>
                <w:b/>
                <w:bCs/>
                <w:color w:val="D6E4F0"/>
                <w:sz w:val="16"/>
                <w:szCs w:val="16"/>
              </w:rPr>
              <w:t xml:space="preserve">Step 3</w:t>
            </w:r>
          </w:p>
          <w:p>
            <w:pPr>
              <w:jc w:val="center"/>
            </w:pPr>
            <w:r>
              <w:rPr>
                <w:rFonts w:ascii="Arial" w:cs="Arial" w:eastAsia="Arial" w:hAnsi="Arial"/>
                <w:b/>
                <w:bCs/>
                <w:color w:val="FFFFFF"/>
                <w:sz w:val="18"/>
                <w:szCs w:val="18"/>
              </w:rPr>
              <w:t xml:space="preserve">Prospect Nurturing</w:t>
            </w:r>
          </w:p>
        </w:tc>
        <w:tc>
          <w:tcPr>
            <w:tcW w:type="dxa" w:w="1872"/>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rFonts w:ascii="Arial" w:cs="Arial" w:eastAsia="Arial" w:hAnsi="Arial"/>
                <w:b/>
                <w:bCs/>
                <w:color w:val="D6E4F0"/>
                <w:sz w:val="16"/>
                <w:szCs w:val="16"/>
              </w:rPr>
              <w:t xml:space="preserve">Step 4</w:t>
            </w:r>
          </w:p>
          <w:p>
            <w:pPr>
              <w:jc w:val="center"/>
            </w:pPr>
            <w:r>
              <w:rPr>
                <w:rFonts w:ascii="Arial" w:cs="Arial" w:eastAsia="Arial" w:hAnsi="Arial"/>
                <w:b/>
                <w:bCs/>
                <w:color w:val="FFFFFF"/>
                <w:sz w:val="18"/>
                <w:szCs w:val="18"/>
              </w:rPr>
              <w:t xml:space="preserve">Account Opening</w:t>
            </w:r>
          </w:p>
        </w:tc>
        <w:tc>
          <w:tcPr>
            <w:tcW w:type="dxa" w:w="1872"/>
            <w:tcBorders>
              <w:top w:val="single" w:color="2E75B6" w:sz="1"/>
              <w:left w:val="single" w:color="2E75B6" w:sz="1"/>
              <w:bottom w:val="single" w:color="2E75B6" w:sz="1"/>
              <w:right w:val="single" w:color="2E75B6" w:sz="1"/>
            </w:tcBorders>
            <w:shd w:fill="1B3A6B" w:val="clear"/>
            <w:tcMar>
              <w:top w:type="dxa" w:w="100"/>
              <w:left w:type="dxa" w:w="100"/>
              <w:bottom w:type="dxa" w:w="100"/>
              <w:right w:type="dxa" w:w="100"/>
            </w:tcMar>
          </w:tcPr>
          <w:p>
            <w:pPr>
              <w:jc w:val="center"/>
            </w:pPr>
            <w:r>
              <w:rPr>
                <w:rFonts w:ascii="Arial" w:cs="Arial" w:eastAsia="Arial" w:hAnsi="Arial"/>
                <w:b/>
                <w:bCs/>
                <w:color w:val="D6E4F0"/>
                <w:sz w:val="16"/>
                <w:szCs w:val="16"/>
              </w:rPr>
              <w:t xml:space="preserve">Step 5</w:t>
            </w:r>
          </w:p>
          <w:p>
            <w:pPr>
              <w:jc w:val="center"/>
            </w:pPr>
            <w:r>
              <w:rPr>
                <w:rFonts w:ascii="Arial" w:cs="Arial" w:eastAsia="Arial" w:hAnsi="Arial"/>
                <w:b/>
                <w:bCs/>
                <w:color w:val="FFFFFF"/>
                <w:sz w:val="18"/>
                <w:szCs w:val="18"/>
              </w:rPr>
              <w:t xml:space="preserve">Activation</w:t>
            </w:r>
          </w:p>
        </w:tc>
      </w:tr>
      <w:tr>
        <w:tc>
          <w:tcPr>
            <w:tcW w:type="dxa" w:w="1872"/>
            <w:tcBorders>
              <w:top w:val="single" w:color="D9D9D9" w:sz="1"/>
              <w:left w:val="single" w:color="D9D9D9" w:sz="1"/>
              <w:bottom w:val="single" w:color="D9D9D9" w:sz="1"/>
              <w:right w:val="single" w:color="D9D9D9" w:sz="1"/>
            </w:tcBorders>
            <w:shd w:fill="FFFFFF" w:val="clear"/>
            <w:tcMar>
              <w:top w:type="dxa" w:w="100"/>
              <w:left w:type="dxa" w:w="100"/>
              <w:bottom w:type="dxa" w:w="100"/>
              <w:right w:type="dxa" w:w="100"/>
            </w:tcMar>
          </w:tcPr>
          <w:p>
            <w:r>
              <w:rPr>
                <w:rFonts w:ascii="Arial" w:cs="Arial" w:eastAsia="Arial" w:hAnsi="Arial"/>
                <w:color w:val="1F2D3D"/>
                <w:sz w:val="16"/>
                <w:szCs w:val="16"/>
              </w:rPr>
              <w:t xml:space="preserve">• Web/Landing Page</w:t>
            </w:r>
          </w:p>
          <w:p>
            <w:r>
              <w:rPr>
                <w:rFonts w:ascii="Arial" w:cs="Arial" w:eastAsia="Arial" w:hAnsi="Arial"/>
                <w:color w:val="1F2D3D"/>
                <w:sz w:val="16"/>
                <w:szCs w:val="16"/>
              </w:rPr>
              <w:t xml:space="preserve">• Branch Walk-in</w:t>
            </w:r>
          </w:p>
          <w:p>
            <w:r>
              <w:rPr>
                <w:rFonts w:ascii="Arial" w:cs="Arial" w:eastAsia="Arial" w:hAnsi="Arial"/>
                <w:color w:val="1F2D3D"/>
                <w:sz w:val="16"/>
                <w:szCs w:val="16"/>
              </w:rPr>
              <w:t xml:space="preserve">• Referral</w:t>
            </w:r>
          </w:p>
          <w:p>
            <w:r>
              <w:rPr>
                <w:rFonts w:ascii="Arial" w:cs="Arial" w:eastAsia="Arial" w:hAnsi="Arial"/>
                <w:color w:val="1F2D3D"/>
                <w:sz w:val="16"/>
                <w:szCs w:val="16"/>
              </w:rPr>
              <w:t xml:space="preserve">• Campaign</w:t>
            </w:r>
          </w:p>
          <w:p>
            <w:r>
              <w:rPr>
                <w:rFonts w:ascii="Arial" w:cs="Arial" w:eastAsia="Arial" w:hAnsi="Arial"/>
                <w:color w:val="1F2D3D"/>
                <w:sz w:val="16"/>
                <w:szCs w:val="16"/>
              </w:rPr>
              <w:t xml:space="preserve">• Call Center</w:t>
            </w:r>
          </w:p>
          <w:p>
            <w:r>
              <w:rPr>
                <w:rFonts w:ascii="Arial" w:cs="Arial" w:eastAsia="Arial" w:hAnsi="Arial"/>
                <w:color w:val="1F2D3D"/>
                <w:sz w:val="16"/>
                <w:szCs w:val="16"/>
              </w:rPr>
              <w:t xml:space="preserve">• Partner Channel</w:t>
            </w:r>
          </w:p>
        </w:tc>
        <w:tc>
          <w:tcPr>
            <w:tcW w:type="dxa" w:w="1872"/>
            <w:tcBorders>
              <w:top w:val="single" w:color="D9D9D9" w:sz="1"/>
              <w:left w:val="single" w:color="D9D9D9" w:sz="1"/>
              <w:bottom w:val="single" w:color="D9D9D9" w:sz="1"/>
              <w:right w:val="single" w:color="D9D9D9" w:sz="1"/>
            </w:tcBorders>
            <w:shd w:fill="F2F2F2" w:val="clear"/>
            <w:tcMar>
              <w:top w:type="dxa" w:w="100"/>
              <w:left w:type="dxa" w:w="100"/>
              <w:bottom w:type="dxa" w:w="100"/>
              <w:right w:type="dxa" w:w="100"/>
            </w:tcMar>
          </w:tcPr>
          <w:p>
            <w:r>
              <w:rPr>
                <w:rFonts w:ascii="Arial" w:cs="Arial" w:eastAsia="Arial" w:hAnsi="Arial"/>
                <w:color w:val="1F2D3D"/>
                <w:sz w:val="16"/>
                <w:szCs w:val="16"/>
              </w:rPr>
              <w:t xml:space="preserve">• Income validation</w:t>
            </w:r>
          </w:p>
          <w:p>
            <w:r>
              <w:rPr>
                <w:rFonts w:ascii="Arial" w:cs="Arial" w:eastAsia="Arial" w:hAnsi="Arial"/>
                <w:color w:val="1F2D3D"/>
                <w:sz w:val="16"/>
                <w:szCs w:val="16"/>
              </w:rPr>
              <w:t xml:space="preserve">• Risk profiling</w:t>
            </w:r>
          </w:p>
          <w:p>
            <w:r>
              <w:rPr>
                <w:rFonts w:ascii="Arial" w:cs="Arial" w:eastAsia="Arial" w:hAnsi="Arial"/>
                <w:color w:val="1F2D3D"/>
                <w:sz w:val="16"/>
                <w:szCs w:val="16"/>
              </w:rPr>
              <w:t xml:space="preserve">• Product suitability</w:t>
            </w:r>
          </w:p>
          <w:p>
            <w:r>
              <w:rPr>
                <w:rFonts w:ascii="Arial" w:cs="Arial" w:eastAsia="Arial" w:hAnsi="Arial"/>
                <w:color w:val="1F2D3D"/>
                <w:sz w:val="16"/>
                <w:szCs w:val="16"/>
              </w:rPr>
              <w:t xml:space="preserve">• KYC pre-check</w:t>
            </w:r>
          </w:p>
          <w:p>
            <w:r>
              <w:rPr>
                <w:rFonts w:ascii="Arial" w:cs="Arial" w:eastAsia="Arial" w:hAnsi="Arial"/>
                <w:color w:val="1F2D3D"/>
                <w:sz w:val="16"/>
                <w:szCs w:val="16"/>
              </w:rPr>
              <w:t xml:space="preserve">• Assign RM</w:t>
            </w:r>
          </w:p>
        </w:tc>
        <w:tc>
          <w:tcPr>
            <w:tcW w:type="dxa" w:w="1872"/>
            <w:tcBorders>
              <w:top w:val="single" w:color="D9D9D9" w:sz="1"/>
              <w:left w:val="single" w:color="D9D9D9" w:sz="1"/>
              <w:bottom w:val="single" w:color="D9D9D9" w:sz="1"/>
              <w:right w:val="single" w:color="D9D9D9" w:sz="1"/>
            </w:tcBorders>
            <w:shd w:fill="FFFFFF" w:val="clear"/>
            <w:tcMar>
              <w:top w:type="dxa" w:w="100"/>
              <w:left w:type="dxa" w:w="100"/>
              <w:bottom w:type="dxa" w:w="100"/>
              <w:right w:type="dxa" w:w="100"/>
            </w:tcMar>
          </w:tcPr>
          <w:p>
            <w:r>
              <w:rPr>
                <w:rFonts w:ascii="Arial" w:cs="Arial" w:eastAsia="Arial" w:hAnsi="Arial"/>
                <w:color w:val="1F2D3D"/>
                <w:sz w:val="16"/>
                <w:szCs w:val="16"/>
              </w:rPr>
              <w:t xml:space="preserve">• Demo / Webinar</w:t>
            </w:r>
          </w:p>
          <w:p>
            <w:r>
              <w:rPr>
                <w:rFonts w:ascii="Arial" w:cs="Arial" w:eastAsia="Arial" w:hAnsi="Arial"/>
                <w:color w:val="1F2D3D"/>
                <w:sz w:val="16"/>
                <w:szCs w:val="16"/>
              </w:rPr>
              <w:t xml:space="preserve">• Brochure send</w:t>
            </w:r>
          </w:p>
          <w:p>
            <w:r>
              <w:rPr>
                <w:rFonts w:ascii="Arial" w:cs="Arial" w:eastAsia="Arial" w:hAnsi="Arial"/>
                <w:color w:val="1F2D3D"/>
                <w:sz w:val="16"/>
                <w:szCs w:val="16"/>
              </w:rPr>
              <w:t xml:space="preserve">• Email campaign</w:t>
            </w:r>
          </w:p>
          <w:p>
            <w:r>
              <w:rPr>
                <w:rFonts w:ascii="Arial" w:cs="Arial" w:eastAsia="Arial" w:hAnsi="Arial"/>
                <w:color w:val="1F2D3D"/>
                <w:sz w:val="16"/>
                <w:szCs w:val="16"/>
              </w:rPr>
              <w:t xml:space="preserve">• Follow-up calls</w:t>
            </w:r>
          </w:p>
          <w:p>
            <w:r>
              <w:rPr>
                <w:rFonts w:ascii="Arial" w:cs="Arial" w:eastAsia="Arial" w:hAnsi="Arial"/>
                <w:color w:val="1F2D3D"/>
                <w:sz w:val="16"/>
                <w:szCs w:val="16"/>
              </w:rPr>
              <w:t xml:space="preserve">• WhatsApp</w:t>
            </w:r>
          </w:p>
        </w:tc>
        <w:tc>
          <w:tcPr>
            <w:tcW w:type="dxa" w:w="1872"/>
            <w:tcBorders>
              <w:top w:val="single" w:color="D9D9D9" w:sz="1"/>
              <w:left w:val="single" w:color="D9D9D9" w:sz="1"/>
              <w:bottom w:val="single" w:color="D9D9D9" w:sz="1"/>
              <w:right w:val="single" w:color="D9D9D9" w:sz="1"/>
            </w:tcBorders>
            <w:shd w:fill="F2F2F2" w:val="clear"/>
            <w:tcMar>
              <w:top w:type="dxa" w:w="100"/>
              <w:left w:type="dxa" w:w="100"/>
              <w:bottom w:type="dxa" w:w="100"/>
              <w:right w:type="dxa" w:w="100"/>
            </w:tcMar>
          </w:tcPr>
          <w:p>
            <w:r>
              <w:rPr>
                <w:rFonts w:ascii="Arial" w:cs="Arial" w:eastAsia="Arial" w:hAnsi="Arial"/>
                <w:color w:val="1F2D3D"/>
                <w:sz w:val="16"/>
                <w:szCs w:val="16"/>
              </w:rPr>
              <w:t xml:space="preserve">• DKYC / eKYC</w:t>
            </w:r>
          </w:p>
          <w:p>
            <w:r>
              <w:rPr>
                <w:rFonts w:ascii="Arial" w:cs="Arial" w:eastAsia="Arial" w:hAnsi="Arial"/>
                <w:color w:val="1F2D3D"/>
                <w:sz w:val="16"/>
                <w:szCs w:val="16"/>
              </w:rPr>
              <w:t xml:space="preserve">• FATCA/CKYC</w:t>
            </w:r>
          </w:p>
          <w:p>
            <w:r>
              <w:rPr>
                <w:rFonts w:ascii="Arial" w:cs="Arial" w:eastAsia="Arial" w:hAnsi="Arial"/>
                <w:color w:val="1F2D3D"/>
                <w:sz w:val="16"/>
                <w:szCs w:val="16"/>
              </w:rPr>
              <w:t xml:space="preserve">• Bank linkage</w:t>
            </w:r>
          </w:p>
          <w:p>
            <w:r>
              <w:rPr>
                <w:rFonts w:ascii="Arial" w:cs="Arial" w:eastAsia="Arial" w:hAnsi="Arial"/>
                <w:color w:val="1F2D3D"/>
                <w:sz w:val="16"/>
                <w:szCs w:val="16"/>
              </w:rPr>
              <w:t xml:space="preserve">• Nominee</w:t>
            </w:r>
          </w:p>
          <w:p>
            <w:r>
              <w:rPr>
                <w:rFonts w:ascii="Arial" w:cs="Arial" w:eastAsia="Arial" w:hAnsi="Arial"/>
                <w:color w:val="1F2D3D"/>
                <w:sz w:val="16"/>
                <w:szCs w:val="16"/>
              </w:rPr>
              <w:t xml:space="preserve">• Digital signature</w:t>
            </w:r>
          </w:p>
        </w:tc>
        <w:tc>
          <w:tcPr>
            <w:tcW w:type="dxa" w:w="1872"/>
            <w:tcBorders>
              <w:top w:val="single" w:color="D9D9D9" w:sz="1"/>
              <w:left w:val="single" w:color="D9D9D9" w:sz="1"/>
              <w:bottom w:val="single" w:color="D9D9D9" w:sz="1"/>
              <w:right w:val="single" w:color="D9D9D9" w:sz="1"/>
            </w:tcBorders>
            <w:shd w:fill="FFFFFF" w:val="clear"/>
            <w:tcMar>
              <w:top w:type="dxa" w:w="100"/>
              <w:left w:type="dxa" w:w="100"/>
              <w:bottom w:type="dxa" w:w="100"/>
              <w:right w:type="dxa" w:w="100"/>
            </w:tcMar>
          </w:tcPr>
          <w:p>
            <w:r>
              <w:rPr>
                <w:rFonts w:ascii="Arial" w:cs="Arial" w:eastAsia="Arial" w:hAnsi="Arial"/>
                <w:color w:val="1F2D3D"/>
                <w:sz w:val="16"/>
                <w:szCs w:val="16"/>
              </w:rPr>
              <w:t xml:space="preserve">• Fund first deposit</w:t>
            </w:r>
          </w:p>
          <w:p>
            <w:r>
              <w:rPr>
                <w:rFonts w:ascii="Arial" w:cs="Arial" w:eastAsia="Arial" w:hAnsi="Arial"/>
                <w:color w:val="1F2D3D"/>
                <w:sz w:val="16"/>
                <w:szCs w:val="16"/>
              </w:rPr>
              <w:t xml:space="preserve">• First trade</w:t>
            </w:r>
          </w:p>
          <w:p>
            <w:r>
              <w:rPr>
                <w:rFonts w:ascii="Arial" w:cs="Arial" w:eastAsia="Arial" w:hAnsi="Arial"/>
                <w:color w:val="1F2D3D"/>
                <w:sz w:val="16"/>
                <w:szCs w:val="16"/>
              </w:rPr>
              <w:t xml:space="preserve">• Platform onboarding</w:t>
            </w:r>
          </w:p>
          <w:p>
            <w:r>
              <w:rPr>
                <w:rFonts w:ascii="Arial" w:cs="Arial" w:eastAsia="Arial" w:hAnsi="Arial"/>
                <w:color w:val="1F2D3D"/>
                <w:sz w:val="16"/>
                <w:szCs w:val="16"/>
              </w:rPr>
              <w:t xml:space="preserve">• Welcome kit</w:t>
            </w:r>
          </w:p>
          <w:p>
            <w:r>
              <w:rPr>
                <w:rFonts w:ascii="Arial" w:cs="Arial" w:eastAsia="Arial" w:hAnsi="Arial"/>
                <w:color w:val="1F2D3D"/>
                <w:sz w:val="16"/>
                <w:szCs w:val="16"/>
              </w:rPr>
              <w:t xml:space="preserve">• RM introduction</w:t>
            </w:r>
          </w:p>
        </w:tc>
      </w:tr>
    </w:tbl>
    <w:p>
      <w:pPr>
        <w:spacing w:before="60" w:after="60"/>
      </w:pPr>
      <w:r>
        <w:t xml:space="preserve"/>
      </w:r>
    </w:p>
    <w:p>
      <w:pPr>
        <w:pStyle w:val="Heading3"/>
        <w:spacing w:before="200" w:after="100"/>
      </w:pPr>
      <w:r>
        <w:rPr>
          <w:rFonts w:ascii="Arial" w:cs="Arial" w:eastAsia="Arial" w:hAnsi="Arial"/>
          <w:b/>
          <w:bCs/>
          <w:color w:val="0D6E6E"/>
          <w:sz w:val="24"/>
          <w:szCs w:val="24"/>
        </w:rPr>
        <w:t xml:space="preserve">6.2.1 Lead Capture</w:t>
      </w:r>
    </w:p>
    <w:p>
      <w:pPr>
        <w:pStyle w:val="ListParagraph"/>
        <w:numPr>
          <w:ilvl w:val="0"/>
          <w:numId w:val="2"/>
        </w:numPr>
        <w:spacing w:before="60" w:after="60"/>
      </w:pPr>
      <w:r>
        <w:rPr>
          <w:rFonts w:ascii="Arial" w:cs="Arial" w:eastAsia="Arial" w:hAnsi="Arial"/>
          <w:color w:val="1F2D3D"/>
          <w:sz w:val="20"/>
          <w:szCs w:val="20"/>
        </w:rPr>
        <w:t xml:space="preserve">Sources: Website forms, mobile app, branch walk-in, dealer referrals, digital campaigns (Google/Meta Ads), partner APIs</w:t>
      </w:r>
    </w:p>
    <w:p>
      <w:pPr>
        <w:pStyle w:val="ListParagraph"/>
        <w:numPr>
          <w:ilvl w:val="0"/>
          <w:numId w:val="2"/>
        </w:numPr>
        <w:spacing w:before="60" w:after="60"/>
      </w:pPr>
      <w:r>
        <w:rPr>
          <w:rFonts w:ascii="Arial" w:cs="Arial" w:eastAsia="Arial" w:hAnsi="Arial"/>
          <w:color w:val="1F2D3D"/>
          <w:sz w:val="20"/>
          <w:szCs w:val="20"/>
        </w:rPr>
        <w:t xml:space="preserve">Lead fields: Name, Mobile, Email, City, PAN, Investment Amount, Risk Profile, Product Interest</w:t>
      </w:r>
    </w:p>
    <w:p>
      <w:pPr>
        <w:pStyle w:val="ListParagraph"/>
        <w:numPr>
          <w:ilvl w:val="0"/>
          <w:numId w:val="2"/>
        </w:numPr>
        <w:spacing w:before="60" w:after="60"/>
      </w:pPr>
      <w:r>
        <w:rPr>
          <w:rFonts w:ascii="Arial" w:cs="Arial" w:eastAsia="Arial" w:hAnsi="Arial"/>
          <w:color w:val="1F2D3D"/>
          <w:sz w:val="20"/>
          <w:szCs w:val="20"/>
        </w:rPr>
        <w:t xml:space="preserve">Auto-deduplication: PAN and mobile number checked against existing client database</w:t>
      </w:r>
    </w:p>
    <w:p>
      <w:pPr>
        <w:pStyle w:val="ListParagraph"/>
        <w:numPr>
          <w:ilvl w:val="0"/>
          <w:numId w:val="2"/>
        </w:numPr>
        <w:spacing w:before="60" w:after="60"/>
      </w:pPr>
      <w:r>
        <w:rPr>
          <w:rFonts w:ascii="Arial" w:cs="Arial" w:eastAsia="Arial" w:hAnsi="Arial"/>
          <w:color w:val="1F2D3D"/>
          <w:sz w:val="20"/>
          <w:szCs w:val="20"/>
        </w:rPr>
        <w:t xml:space="preserve">UTM parameter capture for campaign attribution</w:t>
      </w:r>
    </w:p>
    <w:p>
      <w:pPr>
        <w:pStyle w:val="ListParagraph"/>
        <w:numPr>
          <w:ilvl w:val="0"/>
          <w:numId w:val="2"/>
        </w:numPr>
        <w:spacing w:before="60" w:after="60"/>
      </w:pPr>
      <w:r>
        <w:rPr>
          <w:rFonts w:ascii="Arial" w:cs="Arial" w:eastAsia="Arial" w:hAnsi="Arial"/>
          <w:color w:val="1F2D3D"/>
          <w:sz w:val="20"/>
          <w:szCs w:val="20"/>
        </w:rPr>
        <w:t xml:space="preserve">Lead scoring algorithm: Based on income band, product interest, engagement score</w:t>
      </w:r>
    </w:p>
    <w:p>
      <w:pPr>
        <w:spacing w:before="60" w:after="60"/>
      </w:pPr>
      <w:r>
        <w:t xml:space="preserve"/>
      </w:r>
    </w:p>
    <w:p>
      <w:pPr>
        <w:pStyle w:val="Heading3"/>
        <w:spacing w:before="200" w:after="100"/>
      </w:pPr>
      <w:r>
        <w:rPr>
          <w:rFonts w:ascii="Arial" w:cs="Arial" w:eastAsia="Arial" w:hAnsi="Arial"/>
          <w:b/>
          <w:bCs/>
          <w:color w:val="0D6E6E"/>
          <w:sz w:val="24"/>
          <w:szCs w:val="24"/>
        </w:rPr>
        <w:t xml:space="preserve">6.2.2 Lead Qualification &amp; Assignment</w:t>
      </w:r>
    </w:p>
    <w:p>
      <w:pPr>
        <w:pStyle w:val="ListParagraph"/>
        <w:numPr>
          <w:ilvl w:val="0"/>
          <w:numId w:val="2"/>
        </w:numPr>
        <w:spacing w:before="60" w:after="60"/>
      </w:pPr>
      <w:r>
        <w:rPr>
          <w:rFonts w:ascii="Arial" w:cs="Arial" w:eastAsia="Arial" w:hAnsi="Arial"/>
          <w:color w:val="1F2D3D"/>
          <w:sz w:val="20"/>
          <w:szCs w:val="20"/>
        </w:rPr>
        <w:t xml:space="preserve">Auto-assignment rules: By branch, city, product type, or round-robin</w:t>
      </w:r>
    </w:p>
    <w:p>
      <w:pPr>
        <w:pStyle w:val="ListParagraph"/>
        <w:numPr>
          <w:ilvl w:val="0"/>
          <w:numId w:val="2"/>
        </w:numPr>
        <w:spacing w:before="60" w:after="60"/>
      </w:pPr>
      <w:r>
        <w:rPr>
          <w:rFonts w:ascii="Arial" w:cs="Arial" w:eastAsia="Arial" w:hAnsi="Arial"/>
          <w:color w:val="1F2D3D"/>
          <w:sz w:val="20"/>
          <w:szCs w:val="20"/>
        </w:rPr>
        <w:t xml:space="preserve">Manual override by Branch Manager or Team Lead</w:t>
      </w:r>
    </w:p>
    <w:p>
      <w:pPr>
        <w:pStyle w:val="ListParagraph"/>
        <w:numPr>
          <w:ilvl w:val="0"/>
          <w:numId w:val="2"/>
        </w:numPr>
        <w:spacing w:before="60" w:after="60"/>
      </w:pPr>
      <w:r>
        <w:rPr>
          <w:rFonts w:ascii="Arial" w:cs="Arial" w:eastAsia="Arial" w:hAnsi="Arial"/>
          <w:color w:val="1F2D3D"/>
          <w:sz w:val="20"/>
          <w:szCs w:val="20"/>
        </w:rPr>
        <w:t xml:space="preserve">SLA: Assigned RM to make first contact within 24 hours (system alert at 18 hours)</w:t>
      </w:r>
    </w:p>
    <w:p>
      <w:pPr>
        <w:pStyle w:val="ListParagraph"/>
        <w:numPr>
          <w:ilvl w:val="0"/>
          <w:numId w:val="2"/>
        </w:numPr>
        <w:spacing w:before="60" w:after="60"/>
      </w:pPr>
      <w:r>
        <w:rPr>
          <w:rFonts w:ascii="Arial" w:cs="Arial" w:eastAsia="Arial" w:hAnsi="Arial"/>
          <w:color w:val="1F2D3D"/>
          <w:sz w:val="20"/>
          <w:szCs w:val="20"/>
        </w:rPr>
        <w:t xml:space="preserve">Risk profiling questionnaire embedded in CRM — output: Conservative / Moderate / Aggressive</w:t>
      </w:r>
    </w:p>
    <w:p>
      <w:pPr>
        <w:spacing w:before="60" w:after="60"/>
      </w:pPr>
      <w:r>
        <w:t xml:space="preserve"/>
      </w:r>
    </w:p>
    <w:p>
      <w:pPr>
        <w:pStyle w:val="Heading3"/>
        <w:spacing w:before="200" w:after="100"/>
      </w:pPr>
      <w:r>
        <w:rPr>
          <w:rFonts w:ascii="Arial" w:cs="Arial" w:eastAsia="Arial" w:hAnsi="Arial"/>
          <w:b/>
          <w:bCs/>
          <w:color w:val="0D6E6E"/>
          <w:sz w:val="24"/>
          <w:szCs w:val="24"/>
        </w:rPr>
        <w:t xml:space="preserve">6.2.3 Prospect Nurturing</w:t>
      </w:r>
    </w:p>
    <w:p>
      <w:pPr>
        <w:pStyle w:val="ListParagraph"/>
        <w:numPr>
          <w:ilvl w:val="0"/>
          <w:numId w:val="2"/>
        </w:numPr>
        <w:spacing w:before="60" w:after="60"/>
      </w:pPr>
      <w:r>
        <w:rPr>
          <w:rFonts w:ascii="Arial" w:cs="Arial" w:eastAsia="Arial" w:hAnsi="Arial"/>
          <w:color w:val="1F2D3D"/>
          <w:sz w:val="20"/>
          <w:szCs w:val="20"/>
        </w:rPr>
        <w:t xml:space="preserve">Predefined email drip sequences per product category (Equity, Mutual Fund, Derivatives, Currency, Commodity)</w:t>
      </w:r>
    </w:p>
    <w:p>
      <w:pPr>
        <w:pStyle w:val="ListParagraph"/>
        <w:numPr>
          <w:ilvl w:val="0"/>
          <w:numId w:val="2"/>
        </w:numPr>
        <w:spacing w:before="60" w:after="60"/>
      </w:pPr>
      <w:r>
        <w:rPr>
          <w:rFonts w:ascii="Arial" w:cs="Arial" w:eastAsia="Arial" w:hAnsi="Arial"/>
          <w:color w:val="1F2D3D"/>
          <w:sz w:val="20"/>
          <w:szCs w:val="20"/>
        </w:rPr>
        <w:t xml:space="preserve">WhatsApp Business API integration for quick follow-ups</w:t>
      </w:r>
    </w:p>
    <w:p>
      <w:pPr>
        <w:pStyle w:val="ListParagraph"/>
        <w:numPr>
          <w:ilvl w:val="0"/>
          <w:numId w:val="2"/>
        </w:numPr>
        <w:spacing w:before="60" w:after="60"/>
      </w:pPr>
      <w:r>
        <w:rPr>
          <w:rFonts w:ascii="Arial" w:cs="Arial" w:eastAsia="Arial" w:hAnsi="Arial"/>
          <w:color w:val="1F2D3D"/>
          <w:sz w:val="20"/>
          <w:szCs w:val="20"/>
        </w:rPr>
        <w:t xml:space="preserve">Nurture stage aging: Alert if prospect stuck in nurture for &gt;7 days</w:t>
      </w:r>
    </w:p>
    <w:p>
      <w:pPr>
        <w:pStyle w:val="ListParagraph"/>
        <w:numPr>
          <w:ilvl w:val="0"/>
          <w:numId w:val="2"/>
        </w:numPr>
        <w:spacing w:before="60" w:after="60"/>
      </w:pPr>
      <w:r>
        <w:rPr>
          <w:rFonts w:ascii="Arial" w:cs="Arial" w:eastAsia="Arial" w:hAnsi="Arial"/>
          <w:color w:val="1F2D3D"/>
          <w:sz w:val="20"/>
          <w:szCs w:val="20"/>
        </w:rPr>
        <w:t xml:space="preserve">Activity tracker: Calls made, emails sent, meetings done against lead</w:t>
      </w:r>
    </w:p>
    <w:p>
      <w:pPr>
        <w:spacing w:before="60" w:after="60"/>
      </w:pPr>
      <w:r>
        <w:t xml:space="preserve"/>
      </w:r>
    </w:p>
    <w:p>
      <w:pPr>
        <w:pStyle w:val="Heading3"/>
        <w:spacing w:before="200" w:after="100"/>
      </w:pPr>
      <w:r>
        <w:rPr>
          <w:rFonts w:ascii="Arial" w:cs="Arial" w:eastAsia="Arial" w:hAnsi="Arial"/>
          <w:b/>
          <w:bCs/>
          <w:color w:val="0D6E6E"/>
          <w:sz w:val="24"/>
          <w:szCs w:val="24"/>
        </w:rPr>
        <w:t xml:space="preserve">6.2.4 Account Opening</w:t>
      </w:r>
    </w:p>
    <w:p>
      <w:pPr>
        <w:pStyle w:val="ListParagraph"/>
        <w:numPr>
          <w:ilvl w:val="0"/>
          <w:numId w:val="2"/>
        </w:numPr>
        <w:spacing w:before="60" w:after="60"/>
      </w:pPr>
      <w:r>
        <w:rPr>
          <w:rFonts w:ascii="Arial" w:cs="Arial" w:eastAsia="Arial" w:hAnsi="Arial"/>
          <w:color w:val="1F2D3D"/>
          <w:sz w:val="20"/>
          <w:szCs w:val="20"/>
        </w:rPr>
        <w:t xml:space="preserve">Digital KYC: Aadhaar OTP eKYC via UIDAI API, CKYC registry lookup, PAN validation via NSDL</w:t>
      </w:r>
    </w:p>
    <w:p>
      <w:pPr>
        <w:pStyle w:val="ListParagraph"/>
        <w:numPr>
          <w:ilvl w:val="0"/>
          <w:numId w:val="2"/>
        </w:numPr>
        <w:spacing w:before="60" w:after="60"/>
      </w:pPr>
      <w:r>
        <w:rPr>
          <w:rFonts w:ascii="Arial" w:cs="Arial" w:eastAsia="Arial" w:hAnsi="Arial"/>
          <w:color w:val="1F2D3D"/>
          <w:sz w:val="20"/>
          <w:szCs w:val="20"/>
        </w:rPr>
        <w:t xml:space="preserve">FATCA declaration, bank account linkage via PENNY DROP verification</w:t>
      </w:r>
    </w:p>
    <w:p>
      <w:pPr>
        <w:pStyle w:val="ListParagraph"/>
        <w:numPr>
          <w:ilvl w:val="0"/>
          <w:numId w:val="2"/>
        </w:numPr>
        <w:spacing w:before="60" w:after="60"/>
      </w:pPr>
      <w:r>
        <w:rPr>
          <w:rFonts w:ascii="Arial" w:cs="Arial" w:eastAsia="Arial" w:hAnsi="Arial"/>
          <w:color w:val="1F2D3D"/>
          <w:sz w:val="20"/>
          <w:szCs w:val="20"/>
        </w:rPr>
        <w:t xml:space="preserve">Document checklist: PAN card, Aadhaar, bank proof, photo, income proof (for F&amp;O)</w:t>
      </w:r>
    </w:p>
    <w:p>
      <w:pPr>
        <w:pStyle w:val="ListParagraph"/>
        <w:numPr>
          <w:ilvl w:val="0"/>
          <w:numId w:val="2"/>
        </w:numPr>
        <w:spacing w:before="60" w:after="60"/>
      </w:pPr>
      <w:r>
        <w:rPr>
          <w:rFonts w:ascii="Arial" w:cs="Arial" w:eastAsia="Arial" w:hAnsi="Arial"/>
          <w:color w:val="1F2D3D"/>
          <w:sz w:val="20"/>
          <w:szCs w:val="20"/>
        </w:rPr>
        <w:t xml:space="preserve">Document upload to AWS S3 with encryption; Sharable via signed URL</w:t>
      </w:r>
    </w:p>
    <w:p>
      <w:pPr>
        <w:pStyle w:val="ListParagraph"/>
        <w:numPr>
          <w:ilvl w:val="0"/>
          <w:numId w:val="2"/>
        </w:numPr>
        <w:spacing w:before="60" w:after="60"/>
      </w:pPr>
      <w:r>
        <w:rPr>
          <w:rFonts w:ascii="Arial" w:cs="Arial" w:eastAsia="Arial" w:hAnsi="Arial"/>
          <w:color w:val="1F2D3D"/>
          <w:sz w:val="20"/>
          <w:szCs w:val="20"/>
        </w:rPr>
        <w:t xml:space="preserve">Digital signature via DSC or Aadhaar eSign</w:t>
      </w:r>
    </w:p>
    <w:p>
      <w:pPr>
        <w:pStyle w:val="ListParagraph"/>
        <w:numPr>
          <w:ilvl w:val="0"/>
          <w:numId w:val="2"/>
        </w:numPr>
        <w:spacing w:before="60" w:after="60"/>
      </w:pPr>
      <w:r>
        <w:rPr>
          <w:rFonts w:ascii="Arial" w:cs="Arial" w:eastAsia="Arial" w:hAnsi="Arial"/>
          <w:color w:val="1F2D3D"/>
          <w:sz w:val="20"/>
          <w:szCs w:val="20"/>
        </w:rPr>
        <w:t xml:space="preserve">SEBI/Exchange onboarding form generation (NSCCL, BSE)</w:t>
      </w:r>
    </w:p>
    <w:p>
      <w:pPr>
        <w:pStyle w:val="ListParagraph"/>
        <w:numPr>
          <w:ilvl w:val="0"/>
          <w:numId w:val="2"/>
        </w:numPr>
        <w:spacing w:before="60" w:after="60"/>
      </w:pPr>
      <w:r>
        <w:rPr>
          <w:rFonts w:ascii="Arial" w:cs="Arial" w:eastAsia="Arial" w:hAnsi="Arial"/>
          <w:color w:val="1F2D3D"/>
          <w:sz w:val="20"/>
          <w:szCs w:val="20"/>
        </w:rPr>
        <w:t xml:space="preserve">Application sent to back-office system via API; status tracking in CRM</w:t>
      </w:r>
    </w:p>
    <w:p>
      <w:pPr>
        <w:spacing w:before="60" w:after="60"/>
      </w:pPr>
      <w:r>
        <w:t xml:space="preserve"/>
      </w:r>
    </w:p>
    <w:p>
      <w:pPr>
        <w:pStyle w:val="Heading3"/>
        <w:spacing w:before="200" w:after="100"/>
      </w:pPr>
      <w:r>
        <w:rPr>
          <w:rFonts w:ascii="Arial" w:cs="Arial" w:eastAsia="Arial" w:hAnsi="Arial"/>
          <w:b/>
          <w:bCs/>
          <w:color w:val="0D6E6E"/>
          <w:sz w:val="24"/>
          <w:szCs w:val="24"/>
        </w:rPr>
        <w:t xml:space="preserve">6.2.5 Account Activation</w:t>
      </w:r>
    </w:p>
    <w:p>
      <w:pPr>
        <w:pStyle w:val="ListParagraph"/>
        <w:numPr>
          <w:ilvl w:val="0"/>
          <w:numId w:val="2"/>
        </w:numPr>
        <w:spacing w:before="60" w:after="60"/>
      </w:pPr>
      <w:r>
        <w:rPr>
          <w:rFonts w:ascii="Arial" w:cs="Arial" w:eastAsia="Arial" w:hAnsi="Arial"/>
          <w:color w:val="1F2D3D"/>
          <w:sz w:val="20"/>
          <w:szCs w:val="20"/>
        </w:rPr>
        <w:t xml:space="preserve">First-fund-in tracking: Trigger welcome sequence on first deposit</w:t>
      </w:r>
    </w:p>
    <w:p>
      <w:pPr>
        <w:pStyle w:val="ListParagraph"/>
        <w:numPr>
          <w:ilvl w:val="0"/>
          <w:numId w:val="2"/>
        </w:numPr>
        <w:spacing w:before="60" w:after="60"/>
      </w:pPr>
      <w:r>
        <w:rPr>
          <w:rFonts w:ascii="Arial" w:cs="Arial" w:eastAsia="Arial" w:hAnsi="Arial"/>
          <w:color w:val="1F2D3D"/>
          <w:sz w:val="20"/>
          <w:szCs w:val="20"/>
        </w:rPr>
        <w:t xml:space="preserve">First-trade milestone tracked and logged against client profile</w:t>
      </w:r>
    </w:p>
    <w:p>
      <w:pPr>
        <w:pStyle w:val="ListParagraph"/>
        <w:numPr>
          <w:ilvl w:val="0"/>
          <w:numId w:val="2"/>
        </w:numPr>
        <w:spacing w:before="60" w:after="60"/>
      </w:pPr>
      <w:r>
        <w:rPr>
          <w:rFonts w:ascii="Arial" w:cs="Arial" w:eastAsia="Arial" w:hAnsi="Arial"/>
          <w:color w:val="1F2D3D"/>
          <w:sz w:val="20"/>
          <w:szCs w:val="20"/>
        </w:rPr>
        <w:t xml:space="preserve">Platform walkthrough video auto-sent via email/WhatsApp on activation</w:t>
      </w:r>
    </w:p>
    <w:p>
      <w:pPr>
        <w:pStyle w:val="ListParagraph"/>
        <w:numPr>
          <w:ilvl w:val="0"/>
          <w:numId w:val="2"/>
        </w:numPr>
        <w:spacing w:before="60" w:after="60"/>
      </w:pPr>
      <w:r>
        <w:rPr>
          <w:rFonts w:ascii="Arial" w:cs="Arial" w:eastAsia="Arial" w:hAnsi="Arial"/>
          <w:color w:val="1F2D3D"/>
          <w:sz w:val="20"/>
          <w:szCs w:val="20"/>
        </w:rPr>
        <w:t xml:space="preserve">RM introduction call scheduled within 48 hours of activation</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6.3 Post-Onboarding Relationship Management</w:t>
      </w:r>
    </w:p>
    <w:p>
      <w:pPr>
        <w:pStyle w:val="ListParagraph"/>
        <w:numPr>
          <w:ilvl w:val="0"/>
          <w:numId w:val="2"/>
        </w:numPr>
        <w:spacing w:before="60" w:after="60"/>
      </w:pPr>
      <w:r>
        <w:rPr>
          <w:rFonts w:ascii="Arial" w:cs="Arial" w:eastAsia="Arial" w:hAnsi="Arial"/>
          <w:color w:val="1F2D3D"/>
          <w:sz w:val="20"/>
          <w:szCs w:val="20"/>
        </w:rPr>
        <w:t xml:space="preserve">Portfolio review scheduling: Quarterly for HNI, semi-annual for regular retail</w:t>
      </w:r>
    </w:p>
    <w:p>
      <w:pPr>
        <w:pStyle w:val="ListParagraph"/>
        <w:numPr>
          <w:ilvl w:val="0"/>
          <w:numId w:val="2"/>
        </w:numPr>
        <w:spacing w:before="60" w:after="60"/>
      </w:pPr>
      <w:r>
        <w:rPr>
          <w:rFonts w:ascii="Arial" w:cs="Arial" w:eastAsia="Arial" w:hAnsi="Arial"/>
          <w:color w:val="1F2D3D"/>
          <w:sz w:val="20"/>
          <w:szCs w:val="20"/>
        </w:rPr>
        <w:t xml:space="preserve">Product upsell workflow: MF SIP, PMS, NPS, Insurance cross-sell triggers based on portfolio</w:t>
      </w:r>
    </w:p>
    <w:p>
      <w:pPr>
        <w:pStyle w:val="ListParagraph"/>
        <w:numPr>
          <w:ilvl w:val="0"/>
          <w:numId w:val="2"/>
        </w:numPr>
        <w:spacing w:before="60" w:after="60"/>
      </w:pPr>
      <w:r>
        <w:rPr>
          <w:rFonts w:ascii="Arial" w:cs="Arial" w:eastAsia="Arial" w:hAnsi="Arial"/>
          <w:color w:val="1F2D3D"/>
          <w:sz w:val="20"/>
          <w:szCs w:val="20"/>
        </w:rPr>
        <w:t xml:space="preserve">Dormant account alerts: Accounts with no trades in 90 days flagged to RM</w:t>
      </w:r>
    </w:p>
    <w:p>
      <w:pPr>
        <w:pStyle w:val="ListParagraph"/>
        <w:numPr>
          <w:ilvl w:val="0"/>
          <w:numId w:val="2"/>
        </w:numPr>
        <w:spacing w:before="60" w:after="60"/>
      </w:pPr>
      <w:r>
        <w:rPr>
          <w:rFonts w:ascii="Arial" w:cs="Arial" w:eastAsia="Arial" w:hAnsi="Arial"/>
          <w:color w:val="1F2D3D"/>
          <w:sz w:val="20"/>
          <w:szCs w:val="20"/>
        </w:rPr>
        <w:t xml:space="preserve">Revenue tracking: Brokerage, DP charges, advisory fees attributed to RM</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6.4 Retail Broking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Dashboard Widget</w:t>
            </w:r>
          </w:p>
        </w:tc>
        <w:tc>
          <w:tcPr>
            <w:tcW w:type="dxa" w:w="58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Metric</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Lead Funnel</w:t>
            </w:r>
          </w:p>
        </w:tc>
        <w:tc>
          <w:tcPr>
            <w:tcW w:type="dxa" w:w="58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Leads by stage: Captured → Qualified → Nurture → AOF → Activated</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Conversion Rate</w:t>
            </w:r>
          </w:p>
        </w:tc>
        <w:tc>
          <w:tcPr>
            <w:tcW w:type="dxa" w:w="58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 Leads converted to accounts by RM / Branch</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Today's Follow-ups</w:t>
            </w:r>
          </w:p>
        </w:tc>
        <w:tc>
          <w:tcPr>
            <w:tcW w:type="dxa" w:w="58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Calls due, emails pending, meetings scheduled</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New Accounts</w:t>
            </w:r>
          </w:p>
        </w:tc>
        <w:tc>
          <w:tcPr>
            <w:tcW w:type="dxa" w:w="58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MTD / YTD accounts opened with trend chart</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AUM Growth</w:t>
            </w:r>
          </w:p>
        </w:tc>
        <w:tc>
          <w:tcPr>
            <w:tcW w:type="dxa" w:w="58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Client-wise AUM over time</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Revenue Attribution</w:t>
            </w:r>
          </w:p>
        </w:tc>
        <w:tc>
          <w:tcPr>
            <w:tcW w:type="dxa" w:w="58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Brokerage by RM, product, branch</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Dormant Accounts</w:t>
            </w:r>
          </w:p>
        </w:tc>
        <w:tc>
          <w:tcPr>
            <w:tcW w:type="dxa" w:w="58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Count and list of dormant clients by RM</w:t>
            </w:r>
          </w:p>
        </w:tc>
      </w:tr>
    </w:tbl>
    <w:p>
      <w:pPr>
        <w:spacing w:before="60" w:after="60"/>
      </w:pPr>
      <w:r>
        <w:t xml:space="preserve"/>
      </w:r>
    </w:p>
    <w:p>
      <w:pPr>
        <w:pStyle w:val="Heading1"/>
        <w:pageBreakBefore/>
        <w:spacing w:before="360" w:after="180"/>
      </w:pPr>
      <w:r>
        <w:rPr>
          <w:rFonts w:ascii="Arial" w:cs="Arial" w:eastAsia="Arial" w:hAnsi="Arial"/>
          <w:b/>
          <w:bCs/>
          <w:color w:val="1B3A6B"/>
          <w:sz w:val="36"/>
          <w:szCs w:val="36"/>
        </w:rPr>
        <w:t xml:space="preserve">7. Module 2: Corporate Broking CRM</w:t>
      </w:r>
    </w:p>
    <w:p>
      <w:pPr>
        <w:pStyle w:val="Heading2"/>
        <w:pBdr>
          <w:bottom w:val="single" w:color="2E75B6" w:sz="4" w:space="4"/>
        </w:pBdr>
        <w:spacing w:before="280" w:after="140"/>
      </w:pPr>
      <w:r>
        <w:rPr>
          <w:rFonts w:ascii="Arial" w:cs="Arial" w:eastAsia="Arial" w:hAnsi="Arial"/>
          <w:b/>
          <w:bCs/>
          <w:color w:val="2E75B6"/>
          <w:sz w:val="28"/>
          <w:szCs w:val="28"/>
        </w:rPr>
        <w:t xml:space="preserve">7.1 Module Overview</w:t>
      </w:r>
    </w:p>
    <w:p>
      <w:pPr>
        <w:spacing w:before="80" w:after="80"/>
      </w:pPr>
      <w:r>
        <w:rPr>
          <w:rFonts w:ascii="Arial" w:cs="Arial" w:eastAsia="Arial" w:hAnsi="Arial"/>
          <w:color w:val="1F2D3D"/>
          <w:sz w:val="20"/>
          <w:szCs w:val="20"/>
        </w:rPr>
        <w:t xml:space="preserve">Corporate Broking CRM manages relationships with corporate clients — primarily CFOs, Treasurers, and Finance teams who use broking services for treasury management, hedging, fixed income, and equity market transactions. This module tracks corporate mandates, deal flows, and treasury service requests.</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7.2 Lead-to-Closure Workflow – Corporate Broking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75B6" w:sz="1"/>
              <w:left w:val="single" w:color="2E75B6" w:sz="1"/>
              <w:bottom w:val="single" w:color="2E75B6" w:sz="1"/>
              <w:right w:val="single" w:color="2E75B6" w:sz="1"/>
            </w:tcBorders>
            <w:shd w:fill="1B3A6B" w:val="clear"/>
            <w:tcMar>
              <w:top w:type="dxa" w:w="100"/>
              <w:left w:type="dxa" w:w="100"/>
              <w:bottom w:type="dxa" w:w="100"/>
              <w:right w:type="dxa" w:w="100"/>
            </w:tcMar>
          </w:tcPr>
          <w:p>
            <w:pPr>
              <w:jc w:val="center"/>
            </w:pPr>
            <w:r>
              <w:rPr>
                <w:rFonts w:ascii="Arial" w:cs="Arial" w:eastAsia="Arial" w:hAnsi="Arial"/>
                <w:b/>
                <w:bCs/>
                <w:color w:val="D6E4F0"/>
                <w:sz w:val="16"/>
                <w:szCs w:val="16"/>
              </w:rPr>
              <w:t xml:space="preserve">Step 1</w:t>
            </w:r>
          </w:p>
          <w:p>
            <w:pPr>
              <w:jc w:val="center"/>
            </w:pPr>
            <w:r>
              <w:rPr>
                <w:rFonts w:ascii="Arial" w:cs="Arial" w:eastAsia="Arial" w:hAnsi="Arial"/>
                <w:b/>
                <w:bCs/>
                <w:color w:val="FFFFFF"/>
                <w:sz w:val="18"/>
                <w:szCs w:val="18"/>
              </w:rPr>
              <w:t xml:space="preserve">Prospect ID</w:t>
            </w:r>
          </w:p>
        </w:tc>
        <w:tc>
          <w:tcPr>
            <w:tcW w:type="dxa" w:w="1872"/>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rFonts w:ascii="Arial" w:cs="Arial" w:eastAsia="Arial" w:hAnsi="Arial"/>
                <w:b/>
                <w:bCs/>
                <w:color w:val="D6E4F0"/>
                <w:sz w:val="16"/>
                <w:szCs w:val="16"/>
              </w:rPr>
              <w:t xml:space="preserve">Step 2</w:t>
            </w:r>
          </w:p>
          <w:p>
            <w:pPr>
              <w:jc w:val="center"/>
            </w:pPr>
            <w:r>
              <w:rPr>
                <w:rFonts w:ascii="Arial" w:cs="Arial" w:eastAsia="Arial" w:hAnsi="Arial"/>
                <w:b/>
                <w:bCs/>
                <w:color w:val="FFFFFF"/>
                <w:sz w:val="18"/>
                <w:szCs w:val="18"/>
              </w:rPr>
              <w:t xml:space="preserve">Engagement</w:t>
            </w:r>
          </w:p>
        </w:tc>
        <w:tc>
          <w:tcPr>
            <w:tcW w:type="dxa" w:w="1872"/>
            <w:tcBorders>
              <w:top w:val="single" w:color="2E75B6" w:sz="1"/>
              <w:left w:val="single" w:color="2E75B6" w:sz="1"/>
              <w:bottom w:val="single" w:color="2E75B6" w:sz="1"/>
              <w:right w:val="single" w:color="2E75B6" w:sz="1"/>
            </w:tcBorders>
            <w:shd w:fill="1B3A6B" w:val="clear"/>
            <w:tcMar>
              <w:top w:type="dxa" w:w="100"/>
              <w:left w:type="dxa" w:w="100"/>
              <w:bottom w:type="dxa" w:w="100"/>
              <w:right w:type="dxa" w:w="100"/>
            </w:tcMar>
          </w:tcPr>
          <w:p>
            <w:pPr>
              <w:jc w:val="center"/>
            </w:pPr>
            <w:r>
              <w:rPr>
                <w:rFonts w:ascii="Arial" w:cs="Arial" w:eastAsia="Arial" w:hAnsi="Arial"/>
                <w:b/>
                <w:bCs/>
                <w:color w:val="D6E4F0"/>
                <w:sz w:val="16"/>
                <w:szCs w:val="16"/>
              </w:rPr>
              <w:t xml:space="preserve">Step 3</w:t>
            </w:r>
          </w:p>
          <w:p>
            <w:pPr>
              <w:jc w:val="center"/>
            </w:pPr>
            <w:r>
              <w:rPr>
                <w:rFonts w:ascii="Arial" w:cs="Arial" w:eastAsia="Arial" w:hAnsi="Arial"/>
                <w:b/>
                <w:bCs/>
                <w:color w:val="FFFFFF"/>
                <w:sz w:val="18"/>
                <w:szCs w:val="18"/>
              </w:rPr>
              <w:t xml:space="preserve">Mandate &amp; KYC</w:t>
            </w:r>
          </w:p>
        </w:tc>
        <w:tc>
          <w:tcPr>
            <w:tcW w:type="dxa" w:w="1872"/>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rFonts w:ascii="Arial" w:cs="Arial" w:eastAsia="Arial" w:hAnsi="Arial"/>
                <w:b/>
                <w:bCs/>
                <w:color w:val="D6E4F0"/>
                <w:sz w:val="16"/>
                <w:szCs w:val="16"/>
              </w:rPr>
              <w:t xml:space="preserve">Step 4</w:t>
            </w:r>
          </w:p>
          <w:p>
            <w:pPr>
              <w:jc w:val="center"/>
            </w:pPr>
            <w:r>
              <w:rPr>
                <w:rFonts w:ascii="Arial" w:cs="Arial" w:eastAsia="Arial" w:hAnsi="Arial"/>
                <w:b/>
                <w:bCs/>
                <w:color w:val="FFFFFF"/>
                <w:sz w:val="18"/>
                <w:szCs w:val="18"/>
              </w:rPr>
              <w:t xml:space="preserve">Onboarding</w:t>
            </w:r>
          </w:p>
        </w:tc>
        <w:tc>
          <w:tcPr>
            <w:tcW w:type="dxa" w:w="1872"/>
            <w:tcBorders>
              <w:top w:val="single" w:color="2E75B6" w:sz="1"/>
              <w:left w:val="single" w:color="2E75B6" w:sz="1"/>
              <w:bottom w:val="single" w:color="2E75B6" w:sz="1"/>
              <w:right w:val="single" w:color="2E75B6" w:sz="1"/>
            </w:tcBorders>
            <w:shd w:fill="1B3A6B" w:val="clear"/>
            <w:tcMar>
              <w:top w:type="dxa" w:w="100"/>
              <w:left w:type="dxa" w:w="100"/>
              <w:bottom w:type="dxa" w:w="100"/>
              <w:right w:type="dxa" w:w="100"/>
            </w:tcMar>
          </w:tcPr>
          <w:p>
            <w:pPr>
              <w:jc w:val="center"/>
            </w:pPr>
            <w:r>
              <w:rPr>
                <w:rFonts w:ascii="Arial" w:cs="Arial" w:eastAsia="Arial" w:hAnsi="Arial"/>
                <w:b/>
                <w:bCs/>
                <w:color w:val="D6E4F0"/>
                <w:sz w:val="16"/>
                <w:szCs w:val="16"/>
              </w:rPr>
              <w:t xml:space="preserve">Step 5</w:t>
            </w:r>
          </w:p>
          <w:p>
            <w:pPr>
              <w:jc w:val="center"/>
            </w:pPr>
            <w:r>
              <w:rPr>
                <w:rFonts w:ascii="Arial" w:cs="Arial" w:eastAsia="Arial" w:hAnsi="Arial"/>
                <w:b/>
                <w:bCs/>
                <w:color w:val="FFFFFF"/>
                <w:sz w:val="18"/>
                <w:szCs w:val="18"/>
              </w:rPr>
              <w:t xml:space="preserve">Activation &amp; Review</w:t>
            </w:r>
          </w:p>
        </w:tc>
      </w:tr>
      <w:tr>
        <w:tc>
          <w:tcPr>
            <w:tcW w:type="dxa" w:w="1872"/>
            <w:tcBorders>
              <w:top w:val="single" w:color="D9D9D9" w:sz="1"/>
              <w:left w:val="single" w:color="D9D9D9" w:sz="1"/>
              <w:bottom w:val="single" w:color="D9D9D9" w:sz="1"/>
              <w:right w:val="single" w:color="D9D9D9" w:sz="1"/>
            </w:tcBorders>
            <w:shd w:fill="FFFFFF" w:val="clear"/>
            <w:tcMar>
              <w:top w:type="dxa" w:w="100"/>
              <w:left w:type="dxa" w:w="100"/>
              <w:bottom w:type="dxa" w:w="100"/>
              <w:right w:type="dxa" w:w="100"/>
            </w:tcMar>
          </w:tcPr>
          <w:p>
            <w:r>
              <w:rPr>
                <w:rFonts w:ascii="Arial" w:cs="Arial" w:eastAsia="Arial" w:hAnsi="Arial"/>
                <w:color w:val="1F2D3D"/>
                <w:sz w:val="16"/>
                <w:szCs w:val="16"/>
              </w:rPr>
              <w:t xml:space="preserve">• Target company list</w:t>
            </w:r>
          </w:p>
          <w:p>
            <w:r>
              <w:rPr>
                <w:rFonts w:ascii="Arial" w:cs="Arial" w:eastAsia="Arial" w:hAnsi="Arial"/>
                <w:color w:val="1F2D3D"/>
                <w:sz w:val="16"/>
                <w:szCs w:val="16"/>
              </w:rPr>
              <w:t xml:space="preserve">• Referral from IB</w:t>
            </w:r>
          </w:p>
          <w:p>
            <w:r>
              <w:rPr>
                <w:rFonts w:ascii="Arial" w:cs="Arial" w:eastAsia="Arial" w:hAnsi="Arial"/>
                <w:color w:val="1F2D3D"/>
                <w:sz w:val="16"/>
                <w:szCs w:val="16"/>
              </w:rPr>
              <w:t xml:space="preserve">• Conference/Event</w:t>
            </w:r>
          </w:p>
          <w:p>
            <w:r>
              <w:rPr>
                <w:rFonts w:ascii="Arial" w:cs="Arial" w:eastAsia="Arial" w:hAnsi="Arial"/>
                <w:color w:val="1F2D3D"/>
                <w:sz w:val="16"/>
                <w:szCs w:val="16"/>
              </w:rPr>
              <w:t xml:space="preserve">• Industry mapping</w:t>
            </w:r>
          </w:p>
        </w:tc>
        <w:tc>
          <w:tcPr>
            <w:tcW w:type="dxa" w:w="1872"/>
            <w:tcBorders>
              <w:top w:val="single" w:color="D9D9D9" w:sz="1"/>
              <w:left w:val="single" w:color="D9D9D9" w:sz="1"/>
              <w:bottom w:val="single" w:color="D9D9D9" w:sz="1"/>
              <w:right w:val="single" w:color="D9D9D9" w:sz="1"/>
            </w:tcBorders>
            <w:shd w:fill="F2F2F2" w:val="clear"/>
            <w:tcMar>
              <w:top w:type="dxa" w:w="100"/>
              <w:left w:type="dxa" w:w="100"/>
              <w:bottom w:type="dxa" w:w="100"/>
              <w:right w:type="dxa" w:w="100"/>
            </w:tcMar>
          </w:tcPr>
          <w:p>
            <w:r>
              <w:rPr>
                <w:rFonts w:ascii="Arial" w:cs="Arial" w:eastAsia="Arial" w:hAnsi="Arial"/>
                <w:color w:val="1F2D3D"/>
                <w:sz w:val="16"/>
                <w:szCs w:val="16"/>
              </w:rPr>
              <w:t xml:space="preserve">• CFO / Treasurer meeting</w:t>
            </w:r>
          </w:p>
          <w:p>
            <w:r>
              <w:rPr>
                <w:rFonts w:ascii="Arial" w:cs="Arial" w:eastAsia="Arial" w:hAnsi="Arial"/>
                <w:color w:val="1F2D3D"/>
                <w:sz w:val="16"/>
                <w:szCs w:val="16"/>
              </w:rPr>
              <w:t xml:space="preserve">• Product presentation</w:t>
            </w:r>
          </w:p>
          <w:p>
            <w:r>
              <w:rPr>
                <w:rFonts w:ascii="Arial" w:cs="Arial" w:eastAsia="Arial" w:hAnsi="Arial"/>
                <w:color w:val="1F2D3D"/>
                <w:sz w:val="16"/>
                <w:szCs w:val="16"/>
              </w:rPr>
              <w:t xml:space="preserve">• Rate comparison</w:t>
            </w:r>
          </w:p>
          <w:p>
            <w:r>
              <w:rPr>
                <w:rFonts w:ascii="Arial" w:cs="Arial" w:eastAsia="Arial" w:hAnsi="Arial"/>
                <w:color w:val="1F2D3D"/>
                <w:sz w:val="16"/>
                <w:szCs w:val="16"/>
              </w:rPr>
              <w:t xml:space="preserve">• Term sheet</w:t>
            </w:r>
          </w:p>
        </w:tc>
        <w:tc>
          <w:tcPr>
            <w:tcW w:type="dxa" w:w="1872"/>
            <w:tcBorders>
              <w:top w:val="single" w:color="D9D9D9" w:sz="1"/>
              <w:left w:val="single" w:color="D9D9D9" w:sz="1"/>
              <w:bottom w:val="single" w:color="D9D9D9" w:sz="1"/>
              <w:right w:val="single" w:color="D9D9D9" w:sz="1"/>
            </w:tcBorders>
            <w:shd w:fill="FFFFFF" w:val="clear"/>
            <w:tcMar>
              <w:top w:type="dxa" w:w="100"/>
              <w:left w:type="dxa" w:w="100"/>
              <w:bottom w:type="dxa" w:w="100"/>
              <w:right w:type="dxa" w:w="100"/>
            </w:tcMar>
          </w:tcPr>
          <w:p>
            <w:r>
              <w:rPr>
                <w:rFonts w:ascii="Arial" w:cs="Arial" w:eastAsia="Arial" w:hAnsi="Arial"/>
                <w:color w:val="1F2D3D"/>
                <w:sz w:val="16"/>
                <w:szCs w:val="16"/>
              </w:rPr>
              <w:t xml:space="preserve">• Corporate KYC</w:t>
            </w:r>
          </w:p>
          <w:p>
            <w:r>
              <w:rPr>
                <w:rFonts w:ascii="Arial" w:cs="Arial" w:eastAsia="Arial" w:hAnsi="Arial"/>
                <w:color w:val="1F2D3D"/>
                <w:sz w:val="16"/>
                <w:szCs w:val="16"/>
              </w:rPr>
              <w:t xml:space="preserve">• Board resolution</w:t>
            </w:r>
          </w:p>
          <w:p>
            <w:r>
              <w:rPr>
                <w:rFonts w:ascii="Arial" w:cs="Arial" w:eastAsia="Arial" w:hAnsi="Arial"/>
                <w:color w:val="1F2D3D"/>
                <w:sz w:val="16"/>
                <w:szCs w:val="16"/>
              </w:rPr>
              <w:t xml:space="preserve">• Signatory list</w:t>
            </w:r>
          </w:p>
          <w:p>
            <w:r>
              <w:rPr>
                <w:rFonts w:ascii="Arial" w:cs="Arial" w:eastAsia="Arial" w:hAnsi="Arial"/>
                <w:color w:val="1F2D3D"/>
                <w:sz w:val="16"/>
                <w:szCs w:val="16"/>
              </w:rPr>
              <w:t xml:space="preserve">• Credit limit approval</w:t>
            </w:r>
          </w:p>
        </w:tc>
        <w:tc>
          <w:tcPr>
            <w:tcW w:type="dxa" w:w="1872"/>
            <w:tcBorders>
              <w:top w:val="single" w:color="D9D9D9" w:sz="1"/>
              <w:left w:val="single" w:color="D9D9D9" w:sz="1"/>
              <w:bottom w:val="single" w:color="D9D9D9" w:sz="1"/>
              <w:right w:val="single" w:color="D9D9D9" w:sz="1"/>
            </w:tcBorders>
            <w:shd w:fill="F2F2F2" w:val="clear"/>
            <w:tcMar>
              <w:top w:type="dxa" w:w="100"/>
              <w:left w:type="dxa" w:w="100"/>
              <w:bottom w:type="dxa" w:w="100"/>
              <w:right w:type="dxa" w:w="100"/>
            </w:tcMar>
          </w:tcPr>
          <w:p>
            <w:r>
              <w:rPr>
                <w:rFonts w:ascii="Arial" w:cs="Arial" w:eastAsia="Arial" w:hAnsi="Arial"/>
                <w:color w:val="1F2D3D"/>
                <w:sz w:val="16"/>
                <w:szCs w:val="16"/>
              </w:rPr>
              <w:t xml:space="preserve">• Exchange empanelment</w:t>
            </w:r>
          </w:p>
          <w:p>
            <w:r>
              <w:rPr>
                <w:rFonts w:ascii="Arial" w:cs="Arial" w:eastAsia="Arial" w:hAnsi="Arial"/>
                <w:color w:val="1F2D3D"/>
                <w:sz w:val="16"/>
                <w:szCs w:val="16"/>
              </w:rPr>
              <w:t xml:space="preserve">• ISDA/Master agree.</w:t>
            </w:r>
          </w:p>
          <w:p>
            <w:r>
              <w:rPr>
                <w:rFonts w:ascii="Arial" w:cs="Arial" w:eastAsia="Arial" w:hAnsi="Arial"/>
                <w:color w:val="1F2D3D"/>
                <w:sz w:val="16"/>
                <w:szCs w:val="16"/>
              </w:rPr>
              <w:t xml:space="preserve">• Limit setup</w:t>
            </w:r>
          </w:p>
          <w:p>
            <w:r>
              <w:rPr>
                <w:rFonts w:ascii="Arial" w:cs="Arial" w:eastAsia="Arial" w:hAnsi="Arial"/>
                <w:color w:val="1F2D3D"/>
                <w:sz w:val="16"/>
                <w:szCs w:val="16"/>
              </w:rPr>
              <w:t xml:space="preserve">• System access</w:t>
            </w:r>
          </w:p>
        </w:tc>
        <w:tc>
          <w:tcPr>
            <w:tcW w:type="dxa" w:w="1872"/>
            <w:tcBorders>
              <w:top w:val="single" w:color="D9D9D9" w:sz="1"/>
              <w:left w:val="single" w:color="D9D9D9" w:sz="1"/>
              <w:bottom w:val="single" w:color="D9D9D9" w:sz="1"/>
              <w:right w:val="single" w:color="D9D9D9" w:sz="1"/>
            </w:tcBorders>
            <w:shd w:fill="FFFFFF" w:val="clear"/>
            <w:tcMar>
              <w:top w:type="dxa" w:w="100"/>
              <w:left w:type="dxa" w:w="100"/>
              <w:bottom w:type="dxa" w:w="100"/>
              <w:right w:type="dxa" w:w="100"/>
            </w:tcMar>
          </w:tcPr>
          <w:p>
            <w:r>
              <w:rPr>
                <w:rFonts w:ascii="Arial" w:cs="Arial" w:eastAsia="Arial" w:hAnsi="Arial"/>
                <w:color w:val="1F2D3D"/>
                <w:sz w:val="16"/>
                <w:szCs w:val="16"/>
              </w:rPr>
              <w:t xml:space="preserve">• First transaction</w:t>
            </w:r>
          </w:p>
          <w:p>
            <w:r>
              <w:rPr>
                <w:rFonts w:ascii="Arial" w:cs="Arial" w:eastAsia="Arial" w:hAnsi="Arial"/>
                <w:color w:val="1F2D3D"/>
                <w:sz w:val="16"/>
                <w:szCs w:val="16"/>
              </w:rPr>
              <w:t xml:space="preserve">• Revenue tracking</w:t>
            </w:r>
          </w:p>
          <w:p>
            <w:r>
              <w:rPr>
                <w:rFonts w:ascii="Arial" w:cs="Arial" w:eastAsia="Arial" w:hAnsi="Arial"/>
                <w:color w:val="1F2D3D"/>
                <w:sz w:val="16"/>
                <w:szCs w:val="16"/>
              </w:rPr>
              <w:t xml:space="preserve">• Quarterly review</w:t>
            </w:r>
          </w:p>
          <w:p>
            <w:r>
              <w:rPr>
                <w:rFonts w:ascii="Arial" w:cs="Arial" w:eastAsia="Arial" w:hAnsi="Arial"/>
                <w:color w:val="1F2D3D"/>
                <w:sz w:val="16"/>
                <w:szCs w:val="16"/>
              </w:rPr>
              <w:t xml:space="preserve">• Upsell</w:t>
            </w:r>
          </w:p>
        </w:tc>
      </w:tr>
    </w:tbl>
    <w:p>
      <w:pPr>
        <w:spacing w:before="60" w:after="60"/>
      </w:pPr>
      <w:r>
        <w:t xml:space="preserve"/>
      </w:r>
    </w:p>
    <w:p>
      <w:pPr>
        <w:pStyle w:val="Heading3"/>
        <w:spacing w:before="200" w:after="100"/>
      </w:pPr>
      <w:r>
        <w:rPr>
          <w:rFonts w:ascii="Arial" w:cs="Arial" w:eastAsia="Arial" w:hAnsi="Arial"/>
          <w:b/>
          <w:bCs/>
          <w:color w:val="0D6E6E"/>
          <w:sz w:val="24"/>
          <w:szCs w:val="24"/>
        </w:rPr>
        <w:t xml:space="preserve">7.2.1 Corporate Prospect Identification</w:t>
      </w:r>
    </w:p>
    <w:p>
      <w:pPr>
        <w:pStyle w:val="ListParagraph"/>
        <w:numPr>
          <w:ilvl w:val="0"/>
          <w:numId w:val="2"/>
        </w:numPr>
        <w:spacing w:before="60" w:after="60"/>
      </w:pPr>
      <w:r>
        <w:rPr>
          <w:rFonts w:ascii="Arial" w:cs="Arial" w:eastAsia="Arial" w:hAnsi="Arial"/>
          <w:color w:val="1F2D3D"/>
          <w:sz w:val="20"/>
          <w:szCs w:val="20"/>
        </w:rPr>
        <w:t xml:space="preserve">Target list management: Import from Bloomberg/Refinitiv by sector, market cap, treasury size</w:t>
      </w:r>
    </w:p>
    <w:p>
      <w:pPr>
        <w:pStyle w:val="ListParagraph"/>
        <w:numPr>
          <w:ilvl w:val="0"/>
          <w:numId w:val="2"/>
        </w:numPr>
        <w:spacing w:before="60" w:after="60"/>
      </w:pPr>
      <w:r>
        <w:rPr>
          <w:rFonts w:ascii="Arial" w:cs="Arial" w:eastAsia="Arial" w:hAnsi="Arial"/>
          <w:color w:val="1F2D3D"/>
          <w:sz w:val="20"/>
          <w:szCs w:val="20"/>
        </w:rPr>
        <w:t xml:space="preserve">Corporate profile: Company name, CIN, registered address, industry, turnover, key contacts</w:t>
      </w:r>
    </w:p>
    <w:p>
      <w:pPr>
        <w:pStyle w:val="ListParagraph"/>
        <w:numPr>
          <w:ilvl w:val="0"/>
          <w:numId w:val="2"/>
        </w:numPr>
        <w:spacing w:before="60" w:after="60"/>
      </w:pPr>
      <w:r>
        <w:rPr>
          <w:rFonts w:ascii="Arial" w:cs="Arial" w:eastAsia="Arial" w:hAnsi="Arial"/>
          <w:color w:val="1F2D3D"/>
          <w:sz w:val="20"/>
          <w:szCs w:val="20"/>
        </w:rPr>
        <w:t xml:space="preserve">Linkage to promoter/group entities — group hierarchy mapping</w:t>
      </w:r>
    </w:p>
    <w:p>
      <w:pPr>
        <w:pStyle w:val="ListParagraph"/>
        <w:numPr>
          <w:ilvl w:val="0"/>
          <w:numId w:val="2"/>
        </w:numPr>
        <w:spacing w:before="60" w:after="60"/>
      </w:pPr>
      <w:r>
        <w:rPr>
          <w:rFonts w:ascii="Arial" w:cs="Arial" w:eastAsia="Arial" w:hAnsi="Arial"/>
          <w:color w:val="1F2D3D"/>
          <w:sz w:val="20"/>
          <w:szCs w:val="20"/>
        </w:rPr>
        <w:t xml:space="preserve">Competitive landscape: Track which broker(s) the corporate currently uses</w:t>
      </w:r>
    </w:p>
    <w:p>
      <w:pPr>
        <w:spacing w:before="60" w:after="60"/>
      </w:pPr>
      <w:r>
        <w:t xml:space="preserve"/>
      </w:r>
    </w:p>
    <w:p>
      <w:pPr>
        <w:pStyle w:val="Heading3"/>
        <w:spacing w:before="200" w:after="100"/>
      </w:pPr>
      <w:r>
        <w:rPr>
          <w:rFonts w:ascii="Arial" w:cs="Arial" w:eastAsia="Arial" w:hAnsi="Arial"/>
          <w:b/>
          <w:bCs/>
          <w:color w:val="0D6E6E"/>
          <w:sz w:val="24"/>
          <w:szCs w:val="24"/>
        </w:rPr>
        <w:t xml:space="preserve">7.2.2 Engagement &amp; Pitching</w:t>
      </w:r>
    </w:p>
    <w:p>
      <w:pPr>
        <w:pStyle w:val="ListParagraph"/>
        <w:numPr>
          <w:ilvl w:val="0"/>
          <w:numId w:val="2"/>
        </w:numPr>
        <w:spacing w:before="60" w:after="60"/>
      </w:pPr>
      <w:r>
        <w:rPr>
          <w:rFonts w:ascii="Arial" w:cs="Arial" w:eastAsia="Arial" w:hAnsi="Arial"/>
          <w:color w:val="1F2D3D"/>
          <w:sz w:val="20"/>
          <w:szCs w:val="20"/>
        </w:rPr>
        <w:t xml:space="preserve">Meeting request workflow: Send calendar invite, record attendees, attach presentation</w:t>
      </w:r>
    </w:p>
    <w:p>
      <w:pPr>
        <w:pStyle w:val="ListParagraph"/>
        <w:numPr>
          <w:ilvl w:val="0"/>
          <w:numId w:val="2"/>
        </w:numPr>
        <w:spacing w:before="60" w:after="60"/>
      </w:pPr>
      <w:r>
        <w:rPr>
          <w:rFonts w:ascii="Arial" w:cs="Arial" w:eastAsia="Arial" w:hAnsi="Arial"/>
          <w:color w:val="1F2D3D"/>
          <w:sz w:val="20"/>
          <w:szCs w:val="20"/>
        </w:rPr>
        <w:t xml:space="preserve">Pitch deck storage and version tracking in AWS S3</w:t>
      </w:r>
    </w:p>
    <w:p>
      <w:pPr>
        <w:pStyle w:val="ListParagraph"/>
        <w:numPr>
          <w:ilvl w:val="0"/>
          <w:numId w:val="2"/>
        </w:numPr>
        <w:spacing w:before="60" w:after="60"/>
      </w:pPr>
      <w:r>
        <w:rPr>
          <w:rFonts w:ascii="Arial" w:cs="Arial" w:eastAsia="Arial" w:hAnsi="Arial"/>
          <w:color w:val="1F2D3D"/>
          <w:sz w:val="20"/>
          <w:szCs w:val="20"/>
        </w:rPr>
        <w:t xml:space="preserve">Rate sheet sharing: Brokerage rates, FX spreads, derivatives pricing — with version control</w:t>
      </w:r>
    </w:p>
    <w:p>
      <w:pPr>
        <w:pStyle w:val="ListParagraph"/>
        <w:numPr>
          <w:ilvl w:val="0"/>
          <w:numId w:val="2"/>
        </w:numPr>
        <w:spacing w:before="60" w:after="60"/>
      </w:pPr>
      <w:r>
        <w:rPr>
          <w:rFonts w:ascii="Arial" w:cs="Arial" w:eastAsia="Arial" w:hAnsi="Arial"/>
          <w:color w:val="1F2D3D"/>
          <w:sz w:val="20"/>
          <w:szCs w:val="20"/>
        </w:rPr>
        <w:t xml:space="preserve">Win/Loss tracking: Record outcome of pitch with competitor and reason for loss</w:t>
      </w:r>
    </w:p>
    <w:p>
      <w:pPr>
        <w:spacing w:before="60" w:after="60"/>
      </w:pPr>
      <w:r>
        <w:t xml:space="preserve"/>
      </w:r>
    </w:p>
    <w:p>
      <w:pPr>
        <w:pStyle w:val="Heading3"/>
        <w:spacing w:before="200" w:after="100"/>
      </w:pPr>
      <w:r>
        <w:rPr>
          <w:rFonts w:ascii="Arial" w:cs="Arial" w:eastAsia="Arial" w:hAnsi="Arial"/>
          <w:b/>
          <w:bCs/>
          <w:color w:val="0D6E6E"/>
          <w:sz w:val="24"/>
          <w:szCs w:val="24"/>
        </w:rPr>
        <w:t xml:space="preserve">7.2.3 Corporate KYC &amp; Empanelment</w:t>
      </w:r>
    </w:p>
    <w:p>
      <w:pPr>
        <w:pStyle w:val="ListParagraph"/>
        <w:numPr>
          <w:ilvl w:val="0"/>
          <w:numId w:val="2"/>
        </w:numPr>
        <w:spacing w:before="60" w:after="60"/>
      </w:pPr>
      <w:r>
        <w:rPr>
          <w:rFonts w:ascii="Arial" w:cs="Arial" w:eastAsia="Arial" w:hAnsi="Arial"/>
          <w:color w:val="1F2D3D"/>
          <w:sz w:val="20"/>
          <w:szCs w:val="20"/>
        </w:rPr>
        <w:t xml:space="preserve">Corporate KYC checklist: MOA/AOA, board resolution, list of authorized signatories, FATCA, UBO declaration</w:t>
      </w:r>
    </w:p>
    <w:p>
      <w:pPr>
        <w:pStyle w:val="ListParagraph"/>
        <w:numPr>
          <w:ilvl w:val="0"/>
          <w:numId w:val="2"/>
        </w:numPr>
        <w:spacing w:before="60" w:after="60"/>
      </w:pPr>
      <w:r>
        <w:rPr>
          <w:rFonts w:ascii="Arial" w:cs="Arial" w:eastAsia="Arial" w:hAnsi="Arial"/>
          <w:color w:val="1F2D3D"/>
          <w:sz w:val="20"/>
          <w:szCs w:val="20"/>
        </w:rPr>
        <w:t xml:space="preserve">CKYC corporate lookup and CERSAI integration</w:t>
      </w:r>
    </w:p>
    <w:p>
      <w:pPr>
        <w:pStyle w:val="ListParagraph"/>
        <w:numPr>
          <w:ilvl w:val="0"/>
          <w:numId w:val="2"/>
        </w:numPr>
        <w:spacing w:before="60" w:after="60"/>
      </w:pPr>
      <w:r>
        <w:rPr>
          <w:rFonts w:ascii="Arial" w:cs="Arial" w:eastAsia="Arial" w:hAnsi="Arial"/>
          <w:color w:val="1F2D3D"/>
          <w:sz w:val="20"/>
          <w:szCs w:val="20"/>
        </w:rPr>
        <w:t xml:space="preserve">Exchange empanelment: BSE/NSE, SEBI registration validation</w:t>
      </w:r>
    </w:p>
    <w:p>
      <w:pPr>
        <w:pStyle w:val="ListParagraph"/>
        <w:numPr>
          <w:ilvl w:val="0"/>
          <w:numId w:val="2"/>
        </w:numPr>
        <w:spacing w:before="60" w:after="60"/>
      </w:pPr>
      <w:r>
        <w:rPr>
          <w:rFonts w:ascii="Arial" w:cs="Arial" w:eastAsia="Arial" w:hAnsi="Arial"/>
          <w:color w:val="1F2D3D"/>
          <w:sz w:val="20"/>
          <w:szCs w:val="20"/>
        </w:rPr>
        <w:t xml:space="preserve">ISDA/Master Agreement execution workflow with DocuSign integration</w:t>
      </w:r>
    </w:p>
    <w:p>
      <w:pPr>
        <w:pStyle w:val="ListParagraph"/>
        <w:numPr>
          <w:ilvl w:val="0"/>
          <w:numId w:val="2"/>
        </w:numPr>
        <w:spacing w:before="60" w:after="60"/>
      </w:pPr>
      <w:r>
        <w:rPr>
          <w:rFonts w:ascii="Arial" w:cs="Arial" w:eastAsia="Arial" w:hAnsi="Arial"/>
          <w:color w:val="1F2D3D"/>
          <w:sz w:val="20"/>
          <w:szCs w:val="20"/>
        </w:rPr>
        <w:t xml:space="preserve">Credit limit approval workflow: RM → Risk Desk → Credit Committee → CFO sign-off</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7.3 Service Management for Corporate Clients</w:t>
      </w:r>
    </w:p>
    <w:p>
      <w:pPr>
        <w:pStyle w:val="ListParagraph"/>
        <w:numPr>
          <w:ilvl w:val="0"/>
          <w:numId w:val="2"/>
        </w:numPr>
        <w:spacing w:before="60" w:after="60"/>
      </w:pPr>
      <w:r>
        <w:rPr>
          <w:rFonts w:ascii="Arial" w:cs="Arial" w:eastAsia="Arial" w:hAnsi="Arial"/>
          <w:color w:val="1F2D3D"/>
          <w:sz w:val="20"/>
          <w:szCs w:val="20"/>
        </w:rPr>
        <w:t xml:space="preserve">Dedicated dealer assignment per corporate client</w:t>
      </w:r>
    </w:p>
    <w:p>
      <w:pPr>
        <w:pStyle w:val="ListParagraph"/>
        <w:numPr>
          <w:ilvl w:val="0"/>
          <w:numId w:val="2"/>
        </w:numPr>
        <w:spacing w:before="60" w:after="60"/>
      </w:pPr>
      <w:r>
        <w:rPr>
          <w:rFonts w:ascii="Arial" w:cs="Arial" w:eastAsia="Arial" w:hAnsi="Arial"/>
          <w:color w:val="1F2D3D"/>
          <w:sz w:val="20"/>
          <w:szCs w:val="20"/>
        </w:rPr>
        <w:t xml:space="preserve">Trade order communication via Bloomberg or direct OMS API</w:t>
      </w:r>
    </w:p>
    <w:p>
      <w:pPr>
        <w:pStyle w:val="ListParagraph"/>
        <w:numPr>
          <w:ilvl w:val="0"/>
          <w:numId w:val="2"/>
        </w:numPr>
        <w:spacing w:before="60" w:after="60"/>
      </w:pPr>
      <w:r>
        <w:rPr>
          <w:rFonts w:ascii="Arial" w:cs="Arial" w:eastAsia="Arial" w:hAnsi="Arial"/>
          <w:color w:val="1F2D3D"/>
          <w:sz w:val="20"/>
          <w:szCs w:val="20"/>
        </w:rPr>
        <w:t xml:space="preserve">Statement and confirmation dispatch: Email/SFTP to corporate treasury systems</w:t>
      </w:r>
    </w:p>
    <w:p>
      <w:pPr>
        <w:pStyle w:val="ListParagraph"/>
        <w:numPr>
          <w:ilvl w:val="0"/>
          <w:numId w:val="2"/>
        </w:numPr>
        <w:spacing w:before="60" w:after="60"/>
      </w:pPr>
      <w:r>
        <w:rPr>
          <w:rFonts w:ascii="Arial" w:cs="Arial" w:eastAsia="Arial" w:hAnsi="Arial"/>
          <w:color w:val="1F2D3D"/>
          <w:sz w:val="20"/>
          <w:szCs w:val="20"/>
        </w:rPr>
        <w:t xml:space="preserve">FX / Derivatives advisory notes distribution</w:t>
      </w:r>
    </w:p>
    <w:p>
      <w:pPr>
        <w:pStyle w:val="ListParagraph"/>
        <w:numPr>
          <w:ilvl w:val="0"/>
          <w:numId w:val="2"/>
        </w:numPr>
        <w:spacing w:before="60" w:after="60"/>
      </w:pPr>
      <w:r>
        <w:rPr>
          <w:rFonts w:ascii="Arial" w:cs="Arial" w:eastAsia="Arial" w:hAnsi="Arial"/>
          <w:color w:val="1F2D3D"/>
          <w:sz w:val="20"/>
          <w:szCs w:val="20"/>
        </w:rPr>
        <w:t xml:space="preserve">Margin call notifications and collateral management alerts</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7.4 Corporate Broking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Widget</w:t>
            </w:r>
          </w:p>
        </w:tc>
        <w:tc>
          <w:tcPr>
            <w:tcW w:type="dxa" w:w="61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Metric</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Active Corporates</w:t>
            </w:r>
          </w:p>
        </w:tc>
        <w:tc>
          <w:tcPr>
            <w:tcW w:type="dxa" w:w="6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Total empanelled corporates by segment (PSU, Private, MNC)</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Pipeline</w:t>
            </w:r>
          </w:p>
        </w:tc>
        <w:tc>
          <w:tcPr>
            <w:tcW w:type="dxa" w:w="6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Deals in negotiation stage by banker and product</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Turnover Attribution</w:t>
            </w:r>
          </w:p>
        </w:tc>
        <w:tc>
          <w:tcPr>
            <w:tcW w:type="dxa" w:w="6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Monthly turnover by corporate and dealer</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Credit Utilization</w:t>
            </w:r>
          </w:p>
        </w:tc>
        <w:tc>
          <w:tcPr>
            <w:tcW w:type="dxa" w:w="6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Limit vs usage per corporate</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Revenue Tracker</w:t>
            </w:r>
          </w:p>
        </w:tc>
        <w:tc>
          <w:tcPr>
            <w:tcW w:type="dxa" w:w="6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Brokerage earned MTD/YTD by product and corporate</w:t>
            </w:r>
          </w:p>
        </w:tc>
      </w:tr>
    </w:tbl>
    <w:p>
      <w:pPr>
        <w:spacing w:before="60" w:after="60"/>
      </w:pPr>
      <w:r>
        <w:t xml:space="preserve"/>
      </w:r>
    </w:p>
    <w:p>
      <w:pPr>
        <w:pStyle w:val="Heading1"/>
        <w:pageBreakBefore/>
        <w:spacing w:before="360" w:after="180"/>
      </w:pPr>
      <w:r>
        <w:rPr>
          <w:rFonts w:ascii="Arial" w:cs="Arial" w:eastAsia="Arial" w:hAnsi="Arial"/>
          <w:b/>
          <w:bCs/>
          <w:color w:val="1B3A6B"/>
          <w:sz w:val="36"/>
          <w:szCs w:val="36"/>
        </w:rPr>
        <w:t xml:space="preserve">8. Module 3: Investment Banking CRM</w:t>
      </w:r>
    </w:p>
    <w:p>
      <w:pPr>
        <w:pStyle w:val="Heading2"/>
        <w:pBdr>
          <w:bottom w:val="single" w:color="2E75B6" w:sz="4" w:space="4"/>
        </w:pBdr>
        <w:spacing w:before="280" w:after="140"/>
      </w:pPr>
      <w:r>
        <w:rPr>
          <w:rFonts w:ascii="Arial" w:cs="Arial" w:eastAsia="Arial" w:hAnsi="Arial"/>
          <w:b/>
          <w:bCs/>
          <w:color w:val="2E75B6"/>
          <w:sz w:val="28"/>
          <w:szCs w:val="28"/>
        </w:rPr>
        <w:t xml:space="preserve">8.1 Module Overview</w:t>
      </w:r>
    </w:p>
    <w:p>
      <w:pPr>
        <w:spacing w:before="80" w:after="80"/>
      </w:pPr>
      <w:r>
        <w:rPr>
          <w:rFonts w:ascii="Arial" w:cs="Arial" w:eastAsia="Arial" w:hAnsi="Arial"/>
          <w:color w:val="1F2D3D"/>
          <w:sz w:val="20"/>
          <w:szCs w:val="20"/>
        </w:rPr>
        <w:t xml:space="preserve">The Investment Banking CRM module is purpose-built for IB teams managing complex multi-party transactions including IPOs, Follow-on Public Offerings (FPO), Qualified Institutional Placements (QIP), Rights Issues, M&amp;A advisory, Debt Capital Markets (DCM), and structured finance mandates.</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8.2 Lead-to-Closure Workflow – Investment Banking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75B6" w:sz="1"/>
              <w:left w:val="single" w:color="2E75B6" w:sz="1"/>
              <w:bottom w:val="single" w:color="2E75B6" w:sz="1"/>
              <w:right w:val="single" w:color="2E75B6" w:sz="1"/>
            </w:tcBorders>
            <w:shd w:fill="1B3A6B" w:val="clear"/>
            <w:tcMar>
              <w:top w:type="dxa" w:w="100"/>
              <w:left w:type="dxa" w:w="100"/>
              <w:bottom w:type="dxa" w:w="100"/>
              <w:right w:type="dxa" w:w="100"/>
            </w:tcMar>
          </w:tcPr>
          <w:p>
            <w:pPr>
              <w:jc w:val="center"/>
            </w:pPr>
            <w:r>
              <w:rPr>
                <w:rFonts w:ascii="Arial" w:cs="Arial" w:eastAsia="Arial" w:hAnsi="Arial"/>
                <w:b/>
                <w:bCs/>
                <w:color w:val="D6E4F0"/>
                <w:sz w:val="16"/>
                <w:szCs w:val="16"/>
              </w:rPr>
              <w:t xml:space="preserve">Step 1</w:t>
            </w:r>
          </w:p>
          <w:p>
            <w:pPr>
              <w:jc w:val="center"/>
            </w:pPr>
            <w:r>
              <w:rPr>
                <w:rFonts w:ascii="Arial" w:cs="Arial" w:eastAsia="Arial" w:hAnsi="Arial"/>
                <w:b/>
                <w:bCs/>
                <w:color w:val="FFFFFF"/>
                <w:sz w:val="18"/>
                <w:szCs w:val="18"/>
              </w:rPr>
              <w:t xml:space="preserve">Origination</w:t>
            </w:r>
          </w:p>
        </w:tc>
        <w:tc>
          <w:tcPr>
            <w:tcW w:type="dxa" w:w="1872"/>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rFonts w:ascii="Arial" w:cs="Arial" w:eastAsia="Arial" w:hAnsi="Arial"/>
                <w:b/>
                <w:bCs/>
                <w:color w:val="D6E4F0"/>
                <w:sz w:val="16"/>
                <w:szCs w:val="16"/>
              </w:rPr>
              <w:t xml:space="preserve">Step 2</w:t>
            </w:r>
          </w:p>
          <w:p>
            <w:pPr>
              <w:jc w:val="center"/>
            </w:pPr>
            <w:r>
              <w:rPr>
                <w:rFonts w:ascii="Arial" w:cs="Arial" w:eastAsia="Arial" w:hAnsi="Arial"/>
                <w:b/>
                <w:bCs/>
                <w:color w:val="FFFFFF"/>
                <w:sz w:val="18"/>
                <w:szCs w:val="18"/>
              </w:rPr>
              <w:t xml:space="preserve">Pitching</w:t>
            </w:r>
          </w:p>
        </w:tc>
        <w:tc>
          <w:tcPr>
            <w:tcW w:type="dxa" w:w="1872"/>
            <w:tcBorders>
              <w:top w:val="single" w:color="2E75B6" w:sz="1"/>
              <w:left w:val="single" w:color="2E75B6" w:sz="1"/>
              <w:bottom w:val="single" w:color="2E75B6" w:sz="1"/>
              <w:right w:val="single" w:color="2E75B6" w:sz="1"/>
            </w:tcBorders>
            <w:shd w:fill="1B3A6B" w:val="clear"/>
            <w:tcMar>
              <w:top w:type="dxa" w:w="100"/>
              <w:left w:type="dxa" w:w="100"/>
              <w:bottom w:type="dxa" w:w="100"/>
              <w:right w:type="dxa" w:w="100"/>
            </w:tcMar>
          </w:tcPr>
          <w:p>
            <w:pPr>
              <w:jc w:val="center"/>
            </w:pPr>
            <w:r>
              <w:rPr>
                <w:rFonts w:ascii="Arial" w:cs="Arial" w:eastAsia="Arial" w:hAnsi="Arial"/>
                <w:b/>
                <w:bCs/>
                <w:color w:val="D6E4F0"/>
                <w:sz w:val="16"/>
                <w:szCs w:val="16"/>
              </w:rPr>
              <w:t xml:space="preserve">Step 3</w:t>
            </w:r>
          </w:p>
          <w:p>
            <w:pPr>
              <w:jc w:val="center"/>
            </w:pPr>
            <w:r>
              <w:rPr>
                <w:rFonts w:ascii="Arial" w:cs="Arial" w:eastAsia="Arial" w:hAnsi="Arial"/>
                <w:b/>
                <w:bCs/>
                <w:color w:val="FFFFFF"/>
                <w:sz w:val="18"/>
                <w:szCs w:val="18"/>
              </w:rPr>
              <w:t xml:space="preserve">Mandate Win</w:t>
            </w:r>
          </w:p>
        </w:tc>
        <w:tc>
          <w:tcPr>
            <w:tcW w:type="dxa" w:w="1872"/>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rFonts w:ascii="Arial" w:cs="Arial" w:eastAsia="Arial" w:hAnsi="Arial"/>
                <w:b/>
                <w:bCs/>
                <w:color w:val="D6E4F0"/>
                <w:sz w:val="16"/>
                <w:szCs w:val="16"/>
              </w:rPr>
              <w:t xml:space="preserve">Step 4</w:t>
            </w:r>
          </w:p>
          <w:p>
            <w:pPr>
              <w:jc w:val="center"/>
            </w:pPr>
            <w:r>
              <w:rPr>
                <w:rFonts w:ascii="Arial" w:cs="Arial" w:eastAsia="Arial" w:hAnsi="Arial"/>
                <w:b/>
                <w:bCs/>
                <w:color w:val="FFFFFF"/>
                <w:sz w:val="18"/>
                <w:szCs w:val="18"/>
              </w:rPr>
              <w:t xml:space="preserve">Execution</w:t>
            </w:r>
          </w:p>
        </w:tc>
        <w:tc>
          <w:tcPr>
            <w:tcW w:type="dxa" w:w="1872"/>
            <w:tcBorders>
              <w:top w:val="single" w:color="2E75B6" w:sz="1"/>
              <w:left w:val="single" w:color="2E75B6" w:sz="1"/>
              <w:bottom w:val="single" w:color="2E75B6" w:sz="1"/>
              <w:right w:val="single" w:color="2E75B6" w:sz="1"/>
            </w:tcBorders>
            <w:shd w:fill="1B3A6B" w:val="clear"/>
            <w:tcMar>
              <w:top w:type="dxa" w:w="100"/>
              <w:left w:type="dxa" w:w="100"/>
              <w:bottom w:type="dxa" w:w="100"/>
              <w:right w:type="dxa" w:w="100"/>
            </w:tcMar>
          </w:tcPr>
          <w:p>
            <w:pPr>
              <w:jc w:val="center"/>
            </w:pPr>
            <w:r>
              <w:rPr>
                <w:rFonts w:ascii="Arial" w:cs="Arial" w:eastAsia="Arial" w:hAnsi="Arial"/>
                <w:b/>
                <w:bCs/>
                <w:color w:val="D6E4F0"/>
                <w:sz w:val="16"/>
                <w:szCs w:val="16"/>
              </w:rPr>
              <w:t xml:space="preserve">Step 5</w:t>
            </w:r>
          </w:p>
          <w:p>
            <w:pPr>
              <w:jc w:val="center"/>
            </w:pPr>
            <w:r>
              <w:rPr>
                <w:rFonts w:ascii="Arial" w:cs="Arial" w:eastAsia="Arial" w:hAnsi="Arial"/>
                <w:b/>
                <w:bCs/>
                <w:color w:val="FFFFFF"/>
                <w:sz w:val="18"/>
                <w:szCs w:val="18"/>
              </w:rPr>
              <w:t xml:space="preserve">Closure</w:t>
            </w:r>
          </w:p>
        </w:tc>
      </w:tr>
      <w:tr>
        <w:tc>
          <w:tcPr>
            <w:tcW w:type="dxa" w:w="1872"/>
            <w:tcBorders>
              <w:top w:val="single" w:color="D9D9D9" w:sz="1"/>
              <w:left w:val="single" w:color="D9D9D9" w:sz="1"/>
              <w:bottom w:val="single" w:color="D9D9D9" w:sz="1"/>
              <w:right w:val="single" w:color="D9D9D9" w:sz="1"/>
            </w:tcBorders>
            <w:shd w:fill="FFFFFF" w:val="clear"/>
            <w:tcMar>
              <w:top w:type="dxa" w:w="100"/>
              <w:left w:type="dxa" w:w="100"/>
              <w:bottom w:type="dxa" w:w="100"/>
              <w:right w:type="dxa" w:w="100"/>
            </w:tcMar>
          </w:tcPr>
          <w:p>
            <w:r>
              <w:rPr>
                <w:rFonts w:ascii="Arial" w:cs="Arial" w:eastAsia="Arial" w:hAnsi="Arial"/>
                <w:color w:val="1F2D3D"/>
                <w:sz w:val="16"/>
                <w:szCs w:val="16"/>
              </w:rPr>
              <w:t xml:space="preserve">• Industry mapping</w:t>
            </w:r>
          </w:p>
          <w:p>
            <w:r>
              <w:rPr>
                <w:rFonts w:ascii="Arial" w:cs="Arial" w:eastAsia="Arial" w:hAnsi="Arial"/>
                <w:color w:val="1F2D3D"/>
                <w:sz w:val="16"/>
                <w:szCs w:val="16"/>
              </w:rPr>
              <w:t xml:space="preserve">• C-suite meetings</w:t>
            </w:r>
          </w:p>
          <w:p>
            <w:r>
              <w:rPr>
                <w:rFonts w:ascii="Arial" w:cs="Arial" w:eastAsia="Arial" w:hAnsi="Arial"/>
                <w:color w:val="1F2D3D"/>
                <w:sz w:val="16"/>
                <w:szCs w:val="16"/>
              </w:rPr>
              <w:t xml:space="preserve">• Conference networks</w:t>
            </w:r>
          </w:p>
          <w:p>
            <w:r>
              <w:rPr>
                <w:rFonts w:ascii="Arial" w:cs="Arial" w:eastAsia="Arial" w:hAnsi="Arial"/>
                <w:color w:val="1F2D3D"/>
                <w:sz w:val="16"/>
                <w:szCs w:val="16"/>
              </w:rPr>
              <w:t xml:space="preserve">• IB referrals</w:t>
            </w:r>
          </w:p>
          <w:p>
            <w:r>
              <w:rPr>
                <w:rFonts w:ascii="Arial" w:cs="Arial" w:eastAsia="Arial" w:hAnsi="Arial"/>
                <w:color w:val="1F2D3D"/>
                <w:sz w:val="16"/>
                <w:szCs w:val="16"/>
              </w:rPr>
              <w:t xml:space="preserve">• Research leads</w:t>
            </w:r>
          </w:p>
        </w:tc>
        <w:tc>
          <w:tcPr>
            <w:tcW w:type="dxa" w:w="1872"/>
            <w:tcBorders>
              <w:top w:val="single" w:color="D9D9D9" w:sz="1"/>
              <w:left w:val="single" w:color="D9D9D9" w:sz="1"/>
              <w:bottom w:val="single" w:color="D9D9D9" w:sz="1"/>
              <w:right w:val="single" w:color="D9D9D9" w:sz="1"/>
            </w:tcBorders>
            <w:shd w:fill="F2F2F2" w:val="clear"/>
            <w:tcMar>
              <w:top w:type="dxa" w:w="100"/>
              <w:left w:type="dxa" w:w="100"/>
              <w:bottom w:type="dxa" w:w="100"/>
              <w:right w:type="dxa" w:w="100"/>
            </w:tcMar>
          </w:tcPr>
          <w:p>
            <w:r>
              <w:rPr>
                <w:rFonts w:ascii="Arial" w:cs="Arial" w:eastAsia="Arial" w:hAnsi="Arial"/>
                <w:color w:val="1F2D3D"/>
                <w:sz w:val="16"/>
                <w:szCs w:val="16"/>
              </w:rPr>
              <w:t xml:space="preserve">• Pitch book prep</w:t>
            </w:r>
          </w:p>
          <w:p>
            <w:r>
              <w:rPr>
                <w:rFonts w:ascii="Arial" w:cs="Arial" w:eastAsia="Arial" w:hAnsi="Arial"/>
                <w:color w:val="1F2D3D"/>
                <w:sz w:val="16"/>
                <w:szCs w:val="16"/>
              </w:rPr>
              <w:t xml:space="preserve">• Valuation model</w:t>
            </w:r>
          </w:p>
          <w:p>
            <w:r>
              <w:rPr>
                <w:rFonts w:ascii="Arial" w:cs="Arial" w:eastAsia="Arial" w:hAnsi="Arial"/>
                <w:color w:val="1F2D3D"/>
                <w:sz w:val="16"/>
                <w:szCs w:val="16"/>
              </w:rPr>
              <w:t xml:space="preserve">• Comparable deals</w:t>
            </w:r>
          </w:p>
          <w:p>
            <w:r>
              <w:rPr>
                <w:rFonts w:ascii="Arial" w:cs="Arial" w:eastAsia="Arial" w:hAnsi="Arial"/>
                <w:color w:val="1F2D3D"/>
                <w:sz w:val="16"/>
                <w:szCs w:val="16"/>
              </w:rPr>
              <w:t xml:space="preserve">• Fee structure</w:t>
            </w:r>
          </w:p>
          <w:p>
            <w:r>
              <w:rPr>
                <w:rFonts w:ascii="Arial" w:cs="Arial" w:eastAsia="Arial" w:hAnsi="Arial"/>
                <w:color w:val="1F2D3D"/>
                <w:sz w:val="16"/>
                <w:szCs w:val="16"/>
              </w:rPr>
              <w:t xml:space="preserve">• Management pres.</w:t>
            </w:r>
          </w:p>
        </w:tc>
        <w:tc>
          <w:tcPr>
            <w:tcW w:type="dxa" w:w="1872"/>
            <w:tcBorders>
              <w:top w:val="single" w:color="D9D9D9" w:sz="1"/>
              <w:left w:val="single" w:color="D9D9D9" w:sz="1"/>
              <w:bottom w:val="single" w:color="D9D9D9" w:sz="1"/>
              <w:right w:val="single" w:color="D9D9D9" w:sz="1"/>
            </w:tcBorders>
            <w:shd w:fill="FFFFFF" w:val="clear"/>
            <w:tcMar>
              <w:top w:type="dxa" w:w="100"/>
              <w:left w:type="dxa" w:w="100"/>
              <w:bottom w:type="dxa" w:w="100"/>
              <w:right w:type="dxa" w:w="100"/>
            </w:tcMar>
          </w:tcPr>
          <w:p>
            <w:r>
              <w:rPr>
                <w:rFonts w:ascii="Arial" w:cs="Arial" w:eastAsia="Arial" w:hAnsi="Arial"/>
                <w:color w:val="1F2D3D"/>
                <w:sz w:val="16"/>
                <w:szCs w:val="16"/>
              </w:rPr>
              <w:t xml:space="preserve">• LOE / Term sheet</w:t>
            </w:r>
          </w:p>
          <w:p>
            <w:r>
              <w:rPr>
                <w:rFonts w:ascii="Arial" w:cs="Arial" w:eastAsia="Arial" w:hAnsi="Arial"/>
                <w:color w:val="1F2D3D"/>
                <w:sz w:val="16"/>
                <w:szCs w:val="16"/>
              </w:rPr>
              <w:t xml:space="preserve">• Engagement letter</w:t>
            </w:r>
          </w:p>
          <w:p>
            <w:r>
              <w:rPr>
                <w:rFonts w:ascii="Arial" w:cs="Arial" w:eastAsia="Arial" w:hAnsi="Arial"/>
                <w:color w:val="1F2D3D"/>
                <w:sz w:val="16"/>
                <w:szCs w:val="16"/>
              </w:rPr>
              <w:t xml:space="preserve">• Fee agreement</w:t>
            </w:r>
          </w:p>
          <w:p>
            <w:r>
              <w:rPr>
                <w:rFonts w:ascii="Arial" w:cs="Arial" w:eastAsia="Arial" w:hAnsi="Arial"/>
                <w:color w:val="1F2D3D"/>
                <w:sz w:val="16"/>
                <w:szCs w:val="16"/>
              </w:rPr>
              <w:t xml:space="preserve">• Team assignment</w:t>
            </w:r>
          </w:p>
          <w:p>
            <w:r>
              <w:rPr>
                <w:rFonts w:ascii="Arial" w:cs="Arial" w:eastAsia="Arial" w:hAnsi="Arial"/>
                <w:color w:val="1F2D3D"/>
                <w:sz w:val="16"/>
                <w:szCs w:val="16"/>
              </w:rPr>
              <w:t xml:space="preserve">• Conflict check</w:t>
            </w:r>
          </w:p>
        </w:tc>
        <w:tc>
          <w:tcPr>
            <w:tcW w:type="dxa" w:w="1872"/>
            <w:tcBorders>
              <w:top w:val="single" w:color="D9D9D9" w:sz="1"/>
              <w:left w:val="single" w:color="D9D9D9" w:sz="1"/>
              <w:bottom w:val="single" w:color="D9D9D9" w:sz="1"/>
              <w:right w:val="single" w:color="D9D9D9" w:sz="1"/>
            </w:tcBorders>
            <w:shd w:fill="F2F2F2" w:val="clear"/>
            <w:tcMar>
              <w:top w:type="dxa" w:w="100"/>
              <w:left w:type="dxa" w:w="100"/>
              <w:bottom w:type="dxa" w:w="100"/>
              <w:right w:type="dxa" w:w="100"/>
            </w:tcMar>
          </w:tcPr>
          <w:p>
            <w:r>
              <w:rPr>
                <w:rFonts w:ascii="Arial" w:cs="Arial" w:eastAsia="Arial" w:hAnsi="Arial"/>
                <w:color w:val="1F2D3D"/>
                <w:sz w:val="16"/>
                <w:szCs w:val="16"/>
              </w:rPr>
              <w:t xml:space="preserve">• Due diligence</w:t>
            </w:r>
          </w:p>
          <w:p>
            <w:r>
              <w:rPr>
                <w:rFonts w:ascii="Arial" w:cs="Arial" w:eastAsia="Arial" w:hAnsi="Arial"/>
                <w:color w:val="1F2D3D"/>
                <w:sz w:val="16"/>
                <w:szCs w:val="16"/>
              </w:rPr>
              <w:t xml:space="preserve">• DRHP / CIM prep</w:t>
            </w:r>
          </w:p>
          <w:p>
            <w:r>
              <w:rPr>
                <w:rFonts w:ascii="Arial" w:cs="Arial" w:eastAsia="Arial" w:hAnsi="Arial"/>
                <w:color w:val="1F2D3D"/>
                <w:sz w:val="16"/>
                <w:szCs w:val="16"/>
              </w:rPr>
              <w:t xml:space="preserve">• Regulatory filing</w:t>
            </w:r>
          </w:p>
          <w:p>
            <w:r>
              <w:rPr>
                <w:rFonts w:ascii="Arial" w:cs="Arial" w:eastAsia="Arial" w:hAnsi="Arial"/>
                <w:color w:val="1F2D3D"/>
                <w:sz w:val="16"/>
                <w:szCs w:val="16"/>
              </w:rPr>
              <w:t xml:space="preserve">• Road show mgmt</w:t>
            </w:r>
          </w:p>
          <w:p>
            <w:r>
              <w:rPr>
                <w:rFonts w:ascii="Arial" w:cs="Arial" w:eastAsia="Arial" w:hAnsi="Arial"/>
                <w:color w:val="1F2D3D"/>
                <w:sz w:val="16"/>
                <w:szCs w:val="16"/>
              </w:rPr>
              <w:t xml:space="preserve">• Book building</w:t>
            </w:r>
          </w:p>
        </w:tc>
        <w:tc>
          <w:tcPr>
            <w:tcW w:type="dxa" w:w="1872"/>
            <w:tcBorders>
              <w:top w:val="single" w:color="D9D9D9" w:sz="1"/>
              <w:left w:val="single" w:color="D9D9D9" w:sz="1"/>
              <w:bottom w:val="single" w:color="D9D9D9" w:sz="1"/>
              <w:right w:val="single" w:color="D9D9D9" w:sz="1"/>
            </w:tcBorders>
            <w:shd w:fill="FFFFFF" w:val="clear"/>
            <w:tcMar>
              <w:top w:type="dxa" w:w="100"/>
              <w:left w:type="dxa" w:w="100"/>
              <w:bottom w:type="dxa" w:w="100"/>
              <w:right w:type="dxa" w:w="100"/>
            </w:tcMar>
          </w:tcPr>
          <w:p>
            <w:r>
              <w:rPr>
                <w:rFonts w:ascii="Arial" w:cs="Arial" w:eastAsia="Arial" w:hAnsi="Arial"/>
                <w:color w:val="1F2D3D"/>
                <w:sz w:val="16"/>
                <w:szCs w:val="16"/>
              </w:rPr>
              <w:t xml:space="preserve">• Listing / Signing</w:t>
            </w:r>
          </w:p>
          <w:p>
            <w:r>
              <w:rPr>
                <w:rFonts w:ascii="Arial" w:cs="Arial" w:eastAsia="Arial" w:hAnsi="Arial"/>
                <w:color w:val="1F2D3D"/>
                <w:sz w:val="16"/>
                <w:szCs w:val="16"/>
              </w:rPr>
              <w:t xml:space="preserve">• Fee invoicing</w:t>
            </w:r>
          </w:p>
          <w:p>
            <w:r>
              <w:rPr>
                <w:rFonts w:ascii="Arial" w:cs="Arial" w:eastAsia="Arial" w:hAnsi="Arial"/>
                <w:color w:val="1F2D3D"/>
                <w:sz w:val="16"/>
                <w:szCs w:val="16"/>
              </w:rPr>
              <w:t xml:space="preserve">• Tombstone record</w:t>
            </w:r>
          </w:p>
          <w:p>
            <w:r>
              <w:rPr>
                <w:rFonts w:ascii="Arial" w:cs="Arial" w:eastAsia="Arial" w:hAnsi="Arial"/>
                <w:color w:val="1F2D3D"/>
                <w:sz w:val="16"/>
                <w:szCs w:val="16"/>
              </w:rPr>
              <w:t xml:space="preserve">• Feedback capture</w:t>
            </w:r>
          </w:p>
          <w:p>
            <w:r>
              <w:rPr>
                <w:rFonts w:ascii="Arial" w:cs="Arial" w:eastAsia="Arial" w:hAnsi="Arial"/>
                <w:color w:val="1F2D3D"/>
                <w:sz w:val="16"/>
                <w:szCs w:val="16"/>
              </w:rPr>
              <w:t xml:space="preserve">• Next mandate ID</w:t>
            </w:r>
          </w:p>
        </w:tc>
      </w:tr>
    </w:tbl>
    <w:p>
      <w:pPr>
        <w:spacing w:before="60" w:after="60"/>
      </w:pPr>
      <w:r>
        <w:t xml:space="preserve"/>
      </w:r>
    </w:p>
    <w:p>
      <w:pPr>
        <w:pStyle w:val="Heading3"/>
        <w:spacing w:before="200" w:after="100"/>
      </w:pPr>
      <w:r>
        <w:rPr>
          <w:rFonts w:ascii="Arial" w:cs="Arial" w:eastAsia="Arial" w:hAnsi="Arial"/>
          <w:b/>
          <w:bCs/>
          <w:color w:val="0D6E6E"/>
          <w:sz w:val="24"/>
          <w:szCs w:val="24"/>
        </w:rPr>
        <w:t xml:space="preserve">8.2.1 Deal Origination</w:t>
      </w:r>
    </w:p>
    <w:p>
      <w:pPr>
        <w:pStyle w:val="ListParagraph"/>
        <w:numPr>
          <w:ilvl w:val="0"/>
          <w:numId w:val="2"/>
        </w:numPr>
        <w:spacing w:before="60" w:after="60"/>
      </w:pPr>
      <w:r>
        <w:rPr>
          <w:rFonts w:ascii="Arial" w:cs="Arial" w:eastAsia="Arial" w:hAnsi="Arial"/>
          <w:color w:val="1F2D3D"/>
          <w:sz w:val="20"/>
          <w:szCs w:val="20"/>
        </w:rPr>
        <w:t xml:space="preserve">Target company pipeline: Track by sector, deal type, stage, originating banker</w:t>
      </w:r>
    </w:p>
    <w:p>
      <w:pPr>
        <w:pStyle w:val="ListParagraph"/>
        <w:numPr>
          <w:ilvl w:val="0"/>
          <w:numId w:val="2"/>
        </w:numPr>
        <w:spacing w:before="60" w:after="60"/>
      </w:pPr>
      <w:r>
        <w:rPr>
          <w:rFonts w:ascii="Arial" w:cs="Arial" w:eastAsia="Arial" w:hAnsi="Arial"/>
          <w:color w:val="1F2D3D"/>
          <w:sz w:val="20"/>
          <w:szCs w:val="20"/>
        </w:rPr>
        <w:t xml:space="preserve">Intelligence notes: M&amp;A rumors, fundraising intent, promoter signals from public sources</w:t>
      </w:r>
    </w:p>
    <w:p>
      <w:pPr>
        <w:pStyle w:val="ListParagraph"/>
        <w:numPr>
          <w:ilvl w:val="0"/>
          <w:numId w:val="2"/>
        </w:numPr>
        <w:spacing w:before="60" w:after="60"/>
      </w:pPr>
      <w:r>
        <w:rPr>
          <w:rFonts w:ascii="Arial" w:cs="Arial" w:eastAsia="Arial" w:hAnsi="Arial"/>
          <w:color w:val="1F2D3D"/>
          <w:sz w:val="20"/>
          <w:szCs w:val="20"/>
        </w:rPr>
        <w:t xml:space="preserve">Board-level contact management: Chairman, MD, CFO, VP Strategy tracked with interaction history</w:t>
      </w:r>
    </w:p>
    <w:p>
      <w:pPr>
        <w:pStyle w:val="ListParagraph"/>
        <w:numPr>
          <w:ilvl w:val="0"/>
          <w:numId w:val="2"/>
        </w:numPr>
        <w:spacing w:before="60" w:after="60"/>
      </w:pPr>
      <w:r>
        <w:rPr>
          <w:rFonts w:ascii="Arial" w:cs="Arial" w:eastAsia="Arial" w:hAnsi="Arial"/>
          <w:color w:val="1F2D3D"/>
          <w:sz w:val="20"/>
          <w:szCs w:val="20"/>
        </w:rPr>
        <w:t xml:space="preserve">IB referral tracking: Cross-referrals from Retail, Institutional, and Corporate broking teams</w:t>
      </w:r>
    </w:p>
    <w:p>
      <w:pPr>
        <w:spacing w:before="60" w:after="60"/>
      </w:pPr>
      <w:r>
        <w:t xml:space="preserve"/>
      </w:r>
    </w:p>
    <w:p>
      <w:pPr>
        <w:pStyle w:val="Heading3"/>
        <w:spacing w:before="200" w:after="100"/>
      </w:pPr>
      <w:r>
        <w:rPr>
          <w:rFonts w:ascii="Arial" w:cs="Arial" w:eastAsia="Arial" w:hAnsi="Arial"/>
          <w:b/>
          <w:bCs/>
          <w:color w:val="0D6E6E"/>
          <w:sz w:val="24"/>
          <w:szCs w:val="24"/>
        </w:rPr>
        <w:t xml:space="preserve">8.2.2 Pitch Management</w:t>
      </w:r>
    </w:p>
    <w:p>
      <w:pPr>
        <w:pStyle w:val="ListParagraph"/>
        <w:numPr>
          <w:ilvl w:val="0"/>
          <w:numId w:val="2"/>
        </w:numPr>
        <w:spacing w:before="60" w:after="60"/>
      </w:pPr>
      <w:r>
        <w:rPr>
          <w:rFonts w:ascii="Arial" w:cs="Arial" w:eastAsia="Arial" w:hAnsi="Arial"/>
          <w:color w:val="1F2D3D"/>
          <w:sz w:val="20"/>
          <w:szCs w:val="20"/>
        </w:rPr>
        <w:t xml:space="preserve">Pitch creation workflow: Assign pitch team, set submission date, link to deal</w:t>
      </w:r>
    </w:p>
    <w:p>
      <w:pPr>
        <w:pStyle w:val="ListParagraph"/>
        <w:numPr>
          <w:ilvl w:val="0"/>
          <w:numId w:val="2"/>
        </w:numPr>
        <w:spacing w:before="60" w:after="60"/>
      </w:pPr>
      <w:r>
        <w:rPr>
          <w:rFonts w:ascii="Arial" w:cs="Arial" w:eastAsia="Arial" w:hAnsi="Arial"/>
          <w:color w:val="1F2D3D"/>
          <w:sz w:val="20"/>
          <w:szCs w:val="20"/>
        </w:rPr>
        <w:t xml:space="preserve">Pitch book version management in AWS S3 — track v1, v2, final</w:t>
      </w:r>
    </w:p>
    <w:p>
      <w:pPr>
        <w:pStyle w:val="ListParagraph"/>
        <w:numPr>
          <w:ilvl w:val="0"/>
          <w:numId w:val="2"/>
        </w:numPr>
        <w:spacing w:before="60" w:after="60"/>
      </w:pPr>
      <w:r>
        <w:rPr>
          <w:rFonts w:ascii="Arial" w:cs="Arial" w:eastAsia="Arial" w:hAnsi="Arial"/>
          <w:color w:val="1F2D3D"/>
          <w:sz w:val="20"/>
          <w:szCs w:val="20"/>
        </w:rPr>
        <w:t xml:space="preserve">Comparable transactions database (from tombstone records)</w:t>
      </w:r>
    </w:p>
    <w:p>
      <w:pPr>
        <w:pStyle w:val="ListParagraph"/>
        <w:numPr>
          <w:ilvl w:val="0"/>
          <w:numId w:val="2"/>
        </w:numPr>
        <w:spacing w:before="60" w:after="60"/>
      </w:pPr>
      <w:r>
        <w:rPr>
          <w:rFonts w:ascii="Arial" w:cs="Arial" w:eastAsia="Arial" w:hAnsi="Arial"/>
          <w:color w:val="1F2D3D"/>
          <w:sz w:val="20"/>
          <w:szCs w:val="20"/>
        </w:rPr>
        <w:t xml:space="preserve">Win/loss analysis: Record competitor, fee, and outcome reason for every pitch</w:t>
      </w:r>
    </w:p>
    <w:p>
      <w:pPr>
        <w:pStyle w:val="ListParagraph"/>
        <w:numPr>
          <w:ilvl w:val="0"/>
          <w:numId w:val="2"/>
        </w:numPr>
        <w:spacing w:before="60" w:after="60"/>
      </w:pPr>
      <w:r>
        <w:rPr>
          <w:rFonts w:ascii="Arial" w:cs="Arial" w:eastAsia="Arial" w:hAnsi="Arial"/>
          <w:color w:val="1F2D3D"/>
          <w:sz w:val="20"/>
          <w:szCs w:val="20"/>
        </w:rPr>
        <w:t xml:space="preserve">Re-pitch workflow: System prompts follow-up if mandate not won within 90 days</w:t>
      </w:r>
    </w:p>
    <w:p>
      <w:pPr>
        <w:spacing w:before="60" w:after="60"/>
      </w:pPr>
      <w:r>
        <w:t xml:space="preserve"/>
      </w:r>
    </w:p>
    <w:p>
      <w:pPr>
        <w:pStyle w:val="Heading3"/>
        <w:spacing w:before="200" w:after="100"/>
      </w:pPr>
      <w:r>
        <w:rPr>
          <w:rFonts w:ascii="Arial" w:cs="Arial" w:eastAsia="Arial" w:hAnsi="Arial"/>
          <w:b/>
          <w:bCs/>
          <w:color w:val="0D6E6E"/>
          <w:sz w:val="24"/>
          <w:szCs w:val="24"/>
        </w:rPr>
        <w:t xml:space="preserve">8.2.3 Mandate Management</w:t>
      </w:r>
    </w:p>
    <w:p>
      <w:pPr>
        <w:pStyle w:val="ListParagraph"/>
        <w:numPr>
          <w:ilvl w:val="0"/>
          <w:numId w:val="2"/>
        </w:numPr>
        <w:spacing w:before="60" w:after="60"/>
      </w:pPr>
      <w:r>
        <w:rPr>
          <w:rFonts w:ascii="Arial" w:cs="Arial" w:eastAsia="Arial" w:hAnsi="Arial"/>
          <w:color w:val="1F2D3D"/>
          <w:sz w:val="20"/>
          <w:szCs w:val="20"/>
        </w:rPr>
        <w:t xml:space="preserve">Engagement letter upload and e-signature via DocuSign / Aadhaar eSign</w:t>
      </w:r>
    </w:p>
    <w:p>
      <w:pPr>
        <w:pStyle w:val="ListParagraph"/>
        <w:numPr>
          <w:ilvl w:val="0"/>
          <w:numId w:val="2"/>
        </w:numPr>
        <w:spacing w:before="60" w:after="60"/>
      </w:pPr>
      <w:r>
        <w:rPr>
          <w:rFonts w:ascii="Arial" w:cs="Arial" w:eastAsia="Arial" w:hAnsi="Arial"/>
          <w:color w:val="1F2D3D"/>
          <w:sz w:val="20"/>
          <w:szCs w:val="20"/>
        </w:rPr>
        <w:t xml:space="preserve">Conflict of interest check: Automated flag if issuer is on restricted list or deals overlap</w:t>
      </w:r>
    </w:p>
    <w:p>
      <w:pPr>
        <w:pStyle w:val="ListParagraph"/>
        <w:numPr>
          <w:ilvl w:val="0"/>
          <w:numId w:val="2"/>
        </w:numPr>
        <w:spacing w:before="60" w:after="60"/>
      </w:pPr>
      <w:r>
        <w:rPr>
          <w:rFonts w:ascii="Arial" w:cs="Arial" w:eastAsia="Arial" w:hAnsi="Arial"/>
          <w:color w:val="1F2D3D"/>
          <w:sz w:val="20"/>
          <w:szCs w:val="20"/>
        </w:rPr>
        <w:t xml:space="preserve">Wall-crossing log: Record which team members are brought inside information — timestamp, role, justification</w:t>
      </w:r>
    </w:p>
    <w:p>
      <w:pPr>
        <w:pStyle w:val="ListParagraph"/>
        <w:numPr>
          <w:ilvl w:val="0"/>
          <w:numId w:val="2"/>
        </w:numPr>
        <w:spacing w:before="60" w:after="60"/>
      </w:pPr>
      <w:r>
        <w:rPr>
          <w:rFonts w:ascii="Arial" w:cs="Arial" w:eastAsia="Arial" w:hAnsi="Arial"/>
          <w:color w:val="1F2D3D"/>
          <w:sz w:val="20"/>
          <w:szCs w:val="20"/>
        </w:rPr>
        <w:t xml:space="preserve">Deal team setup: Lead banker, co-bankers, analysts, legal, compliance — with role and access</w:t>
      </w:r>
    </w:p>
    <w:p>
      <w:pPr>
        <w:pStyle w:val="ListParagraph"/>
        <w:numPr>
          <w:ilvl w:val="0"/>
          <w:numId w:val="2"/>
        </w:numPr>
        <w:spacing w:before="60" w:after="60"/>
      </w:pPr>
      <w:r>
        <w:rPr>
          <w:rFonts w:ascii="Arial" w:cs="Arial" w:eastAsia="Arial" w:hAnsi="Arial"/>
          <w:color w:val="1F2D3D"/>
          <w:sz w:val="20"/>
          <w:szCs w:val="20"/>
        </w:rPr>
        <w:t xml:space="preserve">Information barrier enforcement: Deal team access restricted via PostgreSQL row-level security</w:t>
      </w:r>
    </w:p>
    <w:p>
      <w:pPr>
        <w:spacing w:before="60" w:after="60"/>
      </w:pPr>
      <w:r>
        <w:t xml:space="preserve"/>
      </w:r>
    </w:p>
    <w:p>
      <w:pPr>
        <w:pStyle w:val="Heading3"/>
        <w:spacing w:before="200" w:after="100"/>
      </w:pPr>
      <w:r>
        <w:rPr>
          <w:rFonts w:ascii="Arial" w:cs="Arial" w:eastAsia="Arial" w:hAnsi="Arial"/>
          <w:b/>
          <w:bCs/>
          <w:color w:val="0D6E6E"/>
          <w:sz w:val="24"/>
          <w:szCs w:val="24"/>
        </w:rPr>
        <w:t xml:space="preserve">8.2.4 Deal Execution</w:t>
      </w:r>
    </w:p>
    <w:p>
      <w:pPr>
        <w:pStyle w:val="ListParagraph"/>
        <w:numPr>
          <w:ilvl w:val="0"/>
          <w:numId w:val="2"/>
        </w:numPr>
        <w:spacing w:before="60" w:after="60"/>
      </w:pPr>
      <w:r>
        <w:rPr>
          <w:rFonts w:ascii="Arial" w:cs="Arial" w:eastAsia="Arial" w:hAnsi="Arial"/>
          <w:color w:val="1F2D3D"/>
          <w:sz w:val="20"/>
          <w:szCs w:val="20"/>
        </w:rPr>
        <w:t xml:space="preserve">Milestone tracker: DRHP filing → SEBI observation → roadshow → pricing → listing</w:t>
      </w:r>
    </w:p>
    <w:p>
      <w:pPr>
        <w:pStyle w:val="ListParagraph"/>
        <w:numPr>
          <w:ilvl w:val="0"/>
          <w:numId w:val="2"/>
        </w:numPr>
        <w:spacing w:before="60" w:after="60"/>
      </w:pPr>
      <w:r>
        <w:rPr>
          <w:rFonts w:ascii="Arial" w:cs="Arial" w:eastAsia="Arial" w:hAnsi="Arial"/>
          <w:color w:val="1F2D3D"/>
          <w:sz w:val="20"/>
          <w:szCs w:val="20"/>
        </w:rPr>
        <w:t xml:space="preserve">Document data room: Secure AWS S3 bucket per deal, role-based document access</w:t>
      </w:r>
    </w:p>
    <w:p>
      <w:pPr>
        <w:pStyle w:val="ListParagraph"/>
        <w:numPr>
          <w:ilvl w:val="0"/>
          <w:numId w:val="2"/>
        </w:numPr>
        <w:spacing w:before="60" w:after="60"/>
      </w:pPr>
      <w:r>
        <w:rPr>
          <w:rFonts w:ascii="Arial" w:cs="Arial" w:eastAsia="Arial" w:hAnsi="Arial"/>
          <w:color w:val="1F2D3D"/>
          <w:sz w:val="20"/>
          <w:szCs w:val="20"/>
        </w:rPr>
        <w:t xml:space="preserve">Roadshow management: Investor targeting, NDR scheduling, presentation tracker</w:t>
      </w:r>
    </w:p>
    <w:p>
      <w:pPr>
        <w:pStyle w:val="ListParagraph"/>
        <w:numPr>
          <w:ilvl w:val="0"/>
          <w:numId w:val="2"/>
        </w:numPr>
        <w:spacing w:before="60" w:after="60"/>
      </w:pPr>
      <w:r>
        <w:rPr>
          <w:rFonts w:ascii="Arial" w:cs="Arial" w:eastAsia="Arial" w:hAnsi="Arial"/>
          <w:color w:val="1F2D3D"/>
          <w:sz w:val="20"/>
          <w:szCs w:val="20"/>
        </w:rPr>
        <w:t xml:space="preserve">Book-building tracker: QIB, NII, RII subscription status (read from exchange API)</w:t>
      </w:r>
    </w:p>
    <w:p>
      <w:pPr>
        <w:pStyle w:val="ListParagraph"/>
        <w:numPr>
          <w:ilvl w:val="0"/>
          <w:numId w:val="2"/>
        </w:numPr>
        <w:spacing w:before="60" w:after="60"/>
      </w:pPr>
      <w:r>
        <w:rPr>
          <w:rFonts w:ascii="Arial" w:cs="Arial" w:eastAsia="Arial" w:hAnsi="Arial"/>
          <w:color w:val="1F2D3D"/>
          <w:sz w:val="20"/>
          <w:szCs w:val="20"/>
        </w:rPr>
        <w:t xml:space="preserve">Regulatory deadline calendar: SEBI filing timelines with auto-alerts</w:t>
      </w:r>
    </w:p>
    <w:p>
      <w:pPr>
        <w:spacing w:before="60" w:after="60"/>
      </w:pPr>
      <w:r>
        <w:t xml:space="preserve"/>
      </w:r>
    </w:p>
    <w:p>
      <w:pPr>
        <w:pStyle w:val="Heading3"/>
        <w:spacing w:before="200" w:after="100"/>
      </w:pPr>
      <w:r>
        <w:rPr>
          <w:rFonts w:ascii="Arial" w:cs="Arial" w:eastAsia="Arial" w:hAnsi="Arial"/>
          <w:b/>
          <w:bCs/>
          <w:color w:val="0D6E6E"/>
          <w:sz w:val="24"/>
          <w:szCs w:val="24"/>
        </w:rPr>
        <w:t xml:space="preserve">8.2.5 Deal Closure &amp; Tombstone</w:t>
      </w:r>
    </w:p>
    <w:p>
      <w:pPr>
        <w:pStyle w:val="ListParagraph"/>
        <w:numPr>
          <w:ilvl w:val="0"/>
          <w:numId w:val="2"/>
        </w:numPr>
        <w:spacing w:before="60" w:after="60"/>
      </w:pPr>
      <w:r>
        <w:rPr>
          <w:rFonts w:ascii="Arial" w:cs="Arial" w:eastAsia="Arial" w:hAnsi="Arial"/>
          <w:color w:val="1F2D3D"/>
          <w:sz w:val="20"/>
          <w:szCs w:val="20"/>
        </w:rPr>
        <w:t xml:space="preserve">Deal closure workflow: Mark deal closed, record final deal value, fee earned, listing date</w:t>
      </w:r>
    </w:p>
    <w:p>
      <w:pPr>
        <w:pStyle w:val="ListParagraph"/>
        <w:numPr>
          <w:ilvl w:val="0"/>
          <w:numId w:val="2"/>
        </w:numPr>
        <w:spacing w:before="60" w:after="60"/>
      </w:pPr>
      <w:r>
        <w:rPr>
          <w:rFonts w:ascii="Arial" w:cs="Arial" w:eastAsia="Arial" w:hAnsi="Arial"/>
          <w:color w:val="1F2D3D"/>
          <w:sz w:val="20"/>
          <w:szCs w:val="20"/>
        </w:rPr>
        <w:t xml:space="preserve">Auto-generate tombstone record for credential pitches</w:t>
      </w:r>
    </w:p>
    <w:p>
      <w:pPr>
        <w:pStyle w:val="ListParagraph"/>
        <w:numPr>
          <w:ilvl w:val="0"/>
          <w:numId w:val="2"/>
        </w:numPr>
        <w:spacing w:before="60" w:after="60"/>
      </w:pPr>
      <w:r>
        <w:rPr>
          <w:rFonts w:ascii="Arial" w:cs="Arial" w:eastAsia="Arial" w:hAnsi="Arial"/>
          <w:color w:val="1F2D3D"/>
          <w:sz w:val="20"/>
          <w:szCs w:val="20"/>
        </w:rPr>
        <w:t xml:space="preserve">League table update: Aggregate closed deals by banker, sector, deal type, year</w:t>
      </w:r>
    </w:p>
    <w:p>
      <w:pPr>
        <w:pStyle w:val="ListParagraph"/>
        <w:numPr>
          <w:ilvl w:val="0"/>
          <w:numId w:val="2"/>
        </w:numPr>
        <w:spacing w:before="60" w:after="60"/>
      </w:pPr>
      <w:r>
        <w:rPr>
          <w:rFonts w:ascii="Arial" w:cs="Arial" w:eastAsia="Arial" w:hAnsi="Arial"/>
          <w:color w:val="1F2D3D"/>
          <w:sz w:val="20"/>
          <w:szCs w:val="20"/>
        </w:rPr>
        <w:t xml:space="preserve">Post-deal feedback capture: From promoters, investors, co-advisors</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8.3 IB Pipeline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Widget</w:t>
            </w:r>
          </w:p>
        </w:tc>
        <w:tc>
          <w:tcPr>
            <w:tcW w:type="dxa" w:w="58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Metric</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Deal Pipeline</w:t>
            </w:r>
          </w:p>
        </w:tc>
        <w:tc>
          <w:tcPr>
            <w:tcW w:type="dxa" w:w="58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Deals by stage (Origination/Pitch/Mandate/Execution/Closed) — Funnel chart</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Revenue Forecast</w:t>
            </w:r>
          </w:p>
        </w:tc>
        <w:tc>
          <w:tcPr>
            <w:tcW w:type="dxa" w:w="58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Expected fees from pipeline deals by quarter</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League Table YTD</w:t>
            </w:r>
          </w:p>
        </w:tc>
        <w:tc>
          <w:tcPr>
            <w:tcW w:type="dxa" w:w="58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Deals closed, deal value, rank by banker and sector</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Win Rate</w:t>
            </w:r>
          </w:p>
        </w:tc>
        <w:tc>
          <w:tcPr>
            <w:tcW w:type="dxa" w:w="58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Pitches submitted vs mandates won — by banker and quarter</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Mandate Aging</w:t>
            </w:r>
          </w:p>
        </w:tc>
        <w:tc>
          <w:tcPr>
            <w:tcW w:type="dxa" w:w="58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Days since mandate awarded — flag deals &gt; 180 days in execution</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Compliance Alerts</w:t>
            </w:r>
          </w:p>
        </w:tc>
        <w:tc>
          <w:tcPr>
            <w:tcW w:type="dxa" w:w="58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Wall-crossing logs, restricted list flags, pending approvals</w:t>
            </w:r>
          </w:p>
        </w:tc>
      </w:tr>
    </w:tbl>
    <w:p>
      <w:pPr>
        <w:spacing w:before="60" w:after="60"/>
      </w:pPr>
      <w:r>
        <w:t xml:space="preserve"/>
      </w:r>
    </w:p>
    <w:p>
      <w:pPr>
        <w:pStyle w:val="Heading1"/>
        <w:pageBreakBefore/>
        <w:spacing w:before="360" w:after="180"/>
      </w:pPr>
      <w:r>
        <w:rPr>
          <w:rFonts w:ascii="Arial" w:cs="Arial" w:eastAsia="Arial" w:hAnsi="Arial"/>
          <w:b/>
          <w:bCs/>
          <w:color w:val="1B3A6B"/>
          <w:sz w:val="36"/>
          <w:szCs w:val="36"/>
        </w:rPr>
        <w:t xml:space="preserve">9. Module 4: AIF (Alternate Investment Fund) CRM</w:t>
      </w:r>
    </w:p>
    <w:p>
      <w:pPr>
        <w:pStyle w:val="Heading2"/>
        <w:pBdr>
          <w:bottom w:val="single" w:color="2E75B6" w:sz="4" w:space="4"/>
        </w:pBdr>
        <w:spacing w:before="280" w:after="140"/>
      </w:pPr>
      <w:r>
        <w:rPr>
          <w:rFonts w:ascii="Arial" w:cs="Arial" w:eastAsia="Arial" w:hAnsi="Arial"/>
          <w:b/>
          <w:bCs/>
          <w:color w:val="2E75B6"/>
          <w:sz w:val="28"/>
          <w:szCs w:val="28"/>
        </w:rPr>
        <w:t xml:space="preserve">9.1 Module Overview</w:t>
      </w:r>
    </w:p>
    <w:p>
      <w:pPr>
        <w:spacing w:before="80" w:after="80"/>
      </w:pPr>
      <w:r>
        <w:rPr>
          <w:rFonts w:ascii="Arial" w:cs="Arial" w:eastAsia="Arial" w:hAnsi="Arial"/>
          <w:color w:val="1F2D3D"/>
          <w:sz w:val="20"/>
          <w:szCs w:val="20"/>
        </w:rPr>
        <w:t xml:space="preserve">The AIF CRM module manages investor relations, fundraising, and compliance for Category I, II, and III Alternate Investment Funds. It covers investor onboarding, capital call management, distribution tracking, SEBI reporting, and ongoing investor communications.</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9.2 Lead-to-Closure Workflow – AIF</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75B6" w:sz="1"/>
              <w:left w:val="single" w:color="2E75B6" w:sz="1"/>
              <w:bottom w:val="single" w:color="2E75B6" w:sz="1"/>
              <w:right w:val="single" w:color="2E75B6" w:sz="1"/>
            </w:tcBorders>
            <w:shd w:fill="1B3A6B" w:val="clear"/>
            <w:tcMar>
              <w:top w:type="dxa" w:w="100"/>
              <w:left w:type="dxa" w:w="100"/>
              <w:bottom w:type="dxa" w:w="100"/>
              <w:right w:type="dxa" w:w="100"/>
            </w:tcMar>
          </w:tcPr>
          <w:p>
            <w:pPr>
              <w:jc w:val="center"/>
            </w:pPr>
            <w:r>
              <w:rPr>
                <w:rFonts w:ascii="Arial" w:cs="Arial" w:eastAsia="Arial" w:hAnsi="Arial"/>
                <w:b/>
                <w:bCs/>
                <w:color w:val="D6E4F0"/>
                <w:sz w:val="16"/>
                <w:szCs w:val="16"/>
              </w:rPr>
              <w:t xml:space="preserve">Step 1</w:t>
            </w:r>
          </w:p>
          <w:p>
            <w:pPr>
              <w:jc w:val="center"/>
            </w:pPr>
            <w:r>
              <w:rPr>
                <w:rFonts w:ascii="Arial" w:cs="Arial" w:eastAsia="Arial" w:hAnsi="Arial"/>
                <w:b/>
                <w:bCs/>
                <w:color w:val="FFFFFF"/>
                <w:sz w:val="18"/>
                <w:szCs w:val="18"/>
              </w:rPr>
              <w:t xml:space="preserve">Investor Sourcing</w:t>
            </w:r>
          </w:p>
        </w:tc>
        <w:tc>
          <w:tcPr>
            <w:tcW w:type="dxa" w:w="1872"/>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rFonts w:ascii="Arial" w:cs="Arial" w:eastAsia="Arial" w:hAnsi="Arial"/>
                <w:b/>
                <w:bCs/>
                <w:color w:val="D6E4F0"/>
                <w:sz w:val="16"/>
                <w:szCs w:val="16"/>
              </w:rPr>
              <w:t xml:space="preserve">Step 2</w:t>
            </w:r>
          </w:p>
          <w:p>
            <w:pPr>
              <w:jc w:val="center"/>
            </w:pPr>
            <w:r>
              <w:rPr>
                <w:rFonts w:ascii="Arial" w:cs="Arial" w:eastAsia="Arial" w:hAnsi="Arial"/>
                <w:b/>
                <w:bCs/>
                <w:color w:val="FFFFFF"/>
                <w:sz w:val="18"/>
                <w:szCs w:val="18"/>
              </w:rPr>
              <w:t xml:space="preserve">Qualification</w:t>
            </w:r>
          </w:p>
        </w:tc>
        <w:tc>
          <w:tcPr>
            <w:tcW w:type="dxa" w:w="1872"/>
            <w:tcBorders>
              <w:top w:val="single" w:color="2E75B6" w:sz="1"/>
              <w:left w:val="single" w:color="2E75B6" w:sz="1"/>
              <w:bottom w:val="single" w:color="2E75B6" w:sz="1"/>
              <w:right w:val="single" w:color="2E75B6" w:sz="1"/>
            </w:tcBorders>
            <w:shd w:fill="1B3A6B" w:val="clear"/>
            <w:tcMar>
              <w:top w:type="dxa" w:w="100"/>
              <w:left w:type="dxa" w:w="100"/>
              <w:bottom w:type="dxa" w:w="100"/>
              <w:right w:type="dxa" w:w="100"/>
            </w:tcMar>
          </w:tcPr>
          <w:p>
            <w:pPr>
              <w:jc w:val="center"/>
            </w:pPr>
            <w:r>
              <w:rPr>
                <w:rFonts w:ascii="Arial" w:cs="Arial" w:eastAsia="Arial" w:hAnsi="Arial"/>
                <w:b/>
                <w:bCs/>
                <w:color w:val="D6E4F0"/>
                <w:sz w:val="16"/>
                <w:szCs w:val="16"/>
              </w:rPr>
              <w:t xml:space="preserve">Step 3</w:t>
            </w:r>
          </w:p>
          <w:p>
            <w:pPr>
              <w:jc w:val="center"/>
            </w:pPr>
            <w:r>
              <w:rPr>
                <w:rFonts w:ascii="Arial" w:cs="Arial" w:eastAsia="Arial" w:hAnsi="Arial"/>
                <w:b/>
                <w:bCs/>
                <w:color w:val="FFFFFF"/>
                <w:sz w:val="18"/>
                <w:szCs w:val="18"/>
              </w:rPr>
              <w:t xml:space="preserve">Due Diligence</w:t>
            </w:r>
          </w:p>
        </w:tc>
        <w:tc>
          <w:tcPr>
            <w:tcW w:type="dxa" w:w="1872"/>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rFonts w:ascii="Arial" w:cs="Arial" w:eastAsia="Arial" w:hAnsi="Arial"/>
                <w:b/>
                <w:bCs/>
                <w:color w:val="D6E4F0"/>
                <w:sz w:val="16"/>
                <w:szCs w:val="16"/>
              </w:rPr>
              <w:t xml:space="preserve">Step 4</w:t>
            </w:r>
          </w:p>
          <w:p>
            <w:pPr>
              <w:jc w:val="center"/>
            </w:pPr>
            <w:r>
              <w:rPr>
                <w:rFonts w:ascii="Arial" w:cs="Arial" w:eastAsia="Arial" w:hAnsi="Arial"/>
                <w:b/>
                <w:bCs/>
                <w:color w:val="FFFFFF"/>
                <w:sz w:val="18"/>
                <w:szCs w:val="18"/>
              </w:rPr>
              <w:t xml:space="preserve">Subscription</w:t>
            </w:r>
          </w:p>
        </w:tc>
        <w:tc>
          <w:tcPr>
            <w:tcW w:type="dxa" w:w="1872"/>
            <w:tcBorders>
              <w:top w:val="single" w:color="2E75B6" w:sz="1"/>
              <w:left w:val="single" w:color="2E75B6" w:sz="1"/>
              <w:bottom w:val="single" w:color="2E75B6" w:sz="1"/>
              <w:right w:val="single" w:color="2E75B6" w:sz="1"/>
            </w:tcBorders>
            <w:shd w:fill="1B3A6B" w:val="clear"/>
            <w:tcMar>
              <w:top w:type="dxa" w:w="100"/>
              <w:left w:type="dxa" w:w="100"/>
              <w:bottom w:type="dxa" w:w="100"/>
              <w:right w:type="dxa" w:w="100"/>
            </w:tcMar>
          </w:tcPr>
          <w:p>
            <w:pPr>
              <w:jc w:val="center"/>
            </w:pPr>
            <w:r>
              <w:rPr>
                <w:rFonts w:ascii="Arial" w:cs="Arial" w:eastAsia="Arial" w:hAnsi="Arial"/>
                <w:b/>
                <w:bCs/>
                <w:color w:val="D6E4F0"/>
                <w:sz w:val="16"/>
                <w:szCs w:val="16"/>
              </w:rPr>
              <w:t xml:space="preserve">Step 5</w:t>
            </w:r>
          </w:p>
          <w:p>
            <w:pPr>
              <w:jc w:val="center"/>
            </w:pPr>
            <w:r>
              <w:rPr>
                <w:rFonts w:ascii="Arial" w:cs="Arial" w:eastAsia="Arial" w:hAnsi="Arial"/>
                <w:b/>
                <w:bCs/>
                <w:color w:val="FFFFFF"/>
                <w:sz w:val="18"/>
                <w:szCs w:val="18"/>
              </w:rPr>
              <w:t xml:space="preserve">Investor Relations</w:t>
            </w:r>
          </w:p>
        </w:tc>
      </w:tr>
      <w:tr>
        <w:tc>
          <w:tcPr>
            <w:tcW w:type="dxa" w:w="1872"/>
            <w:tcBorders>
              <w:top w:val="single" w:color="D9D9D9" w:sz="1"/>
              <w:left w:val="single" w:color="D9D9D9" w:sz="1"/>
              <w:bottom w:val="single" w:color="D9D9D9" w:sz="1"/>
              <w:right w:val="single" w:color="D9D9D9" w:sz="1"/>
            </w:tcBorders>
            <w:shd w:fill="FFFFFF" w:val="clear"/>
            <w:tcMar>
              <w:top w:type="dxa" w:w="100"/>
              <w:left w:type="dxa" w:w="100"/>
              <w:bottom w:type="dxa" w:w="100"/>
              <w:right w:type="dxa" w:w="100"/>
            </w:tcMar>
          </w:tcPr>
          <w:p>
            <w:r>
              <w:rPr>
                <w:rFonts w:ascii="Arial" w:cs="Arial" w:eastAsia="Arial" w:hAnsi="Arial"/>
                <w:color w:val="1F2D3D"/>
                <w:sz w:val="16"/>
                <w:szCs w:val="16"/>
              </w:rPr>
              <w:t xml:space="preserve">• HNI / Family office</w:t>
            </w:r>
          </w:p>
          <w:p>
            <w:r>
              <w:rPr>
                <w:rFonts w:ascii="Arial" w:cs="Arial" w:eastAsia="Arial" w:hAnsi="Arial"/>
                <w:color w:val="1F2D3D"/>
                <w:sz w:val="16"/>
                <w:szCs w:val="16"/>
              </w:rPr>
              <w:t xml:space="preserve">• Institutional LP</w:t>
            </w:r>
          </w:p>
          <w:p>
            <w:r>
              <w:rPr>
                <w:rFonts w:ascii="Arial" w:cs="Arial" w:eastAsia="Arial" w:hAnsi="Arial"/>
                <w:color w:val="1F2D3D"/>
                <w:sz w:val="16"/>
                <w:szCs w:val="16"/>
              </w:rPr>
              <w:t xml:space="preserve">• NRI outreach</w:t>
            </w:r>
          </w:p>
          <w:p>
            <w:r>
              <w:rPr>
                <w:rFonts w:ascii="Arial" w:cs="Arial" w:eastAsia="Arial" w:hAnsi="Arial"/>
                <w:color w:val="1F2D3D"/>
                <w:sz w:val="16"/>
                <w:szCs w:val="16"/>
              </w:rPr>
              <w:t xml:space="preserve">• Referral network</w:t>
            </w:r>
          </w:p>
          <w:p>
            <w:r>
              <w:rPr>
                <w:rFonts w:ascii="Arial" w:cs="Arial" w:eastAsia="Arial" w:hAnsi="Arial"/>
                <w:color w:val="1F2D3D"/>
                <w:sz w:val="16"/>
                <w:szCs w:val="16"/>
              </w:rPr>
              <w:t xml:space="preserve">• Events / Roadshow</w:t>
            </w:r>
          </w:p>
        </w:tc>
        <w:tc>
          <w:tcPr>
            <w:tcW w:type="dxa" w:w="1872"/>
            <w:tcBorders>
              <w:top w:val="single" w:color="D9D9D9" w:sz="1"/>
              <w:left w:val="single" w:color="D9D9D9" w:sz="1"/>
              <w:bottom w:val="single" w:color="D9D9D9" w:sz="1"/>
              <w:right w:val="single" w:color="D9D9D9" w:sz="1"/>
            </w:tcBorders>
            <w:shd w:fill="F2F2F2" w:val="clear"/>
            <w:tcMar>
              <w:top w:type="dxa" w:w="100"/>
              <w:left w:type="dxa" w:w="100"/>
              <w:bottom w:type="dxa" w:w="100"/>
              <w:right w:type="dxa" w:w="100"/>
            </w:tcMar>
          </w:tcPr>
          <w:p>
            <w:r>
              <w:rPr>
                <w:rFonts w:ascii="Arial" w:cs="Arial" w:eastAsia="Arial" w:hAnsi="Arial"/>
                <w:color w:val="1F2D3D"/>
                <w:sz w:val="16"/>
                <w:szCs w:val="16"/>
              </w:rPr>
              <w:t xml:space="preserve">• Accredited investor check</w:t>
            </w:r>
          </w:p>
          <w:p>
            <w:r>
              <w:rPr>
                <w:rFonts w:ascii="Arial" w:cs="Arial" w:eastAsia="Arial" w:hAnsi="Arial"/>
                <w:color w:val="1F2D3D"/>
                <w:sz w:val="16"/>
                <w:szCs w:val="16"/>
              </w:rPr>
              <w:t xml:space="preserve">• Min. commitment size</w:t>
            </w:r>
          </w:p>
          <w:p>
            <w:r>
              <w:rPr>
                <w:rFonts w:ascii="Arial" w:cs="Arial" w:eastAsia="Arial" w:hAnsi="Arial"/>
                <w:color w:val="1F2D3D"/>
                <w:sz w:val="16"/>
                <w:szCs w:val="16"/>
              </w:rPr>
              <w:t xml:space="preserve">• Risk appetite</w:t>
            </w:r>
          </w:p>
          <w:p>
            <w:r>
              <w:rPr>
                <w:rFonts w:ascii="Arial" w:cs="Arial" w:eastAsia="Arial" w:hAnsi="Arial"/>
                <w:color w:val="1F2D3D"/>
                <w:sz w:val="16"/>
                <w:szCs w:val="16"/>
              </w:rPr>
              <w:t xml:space="preserve">• Investment horizon</w:t>
            </w:r>
          </w:p>
        </w:tc>
        <w:tc>
          <w:tcPr>
            <w:tcW w:type="dxa" w:w="1872"/>
            <w:tcBorders>
              <w:top w:val="single" w:color="D9D9D9" w:sz="1"/>
              <w:left w:val="single" w:color="D9D9D9" w:sz="1"/>
              <w:bottom w:val="single" w:color="D9D9D9" w:sz="1"/>
              <w:right w:val="single" w:color="D9D9D9" w:sz="1"/>
            </w:tcBorders>
            <w:shd w:fill="FFFFFF" w:val="clear"/>
            <w:tcMar>
              <w:top w:type="dxa" w:w="100"/>
              <w:left w:type="dxa" w:w="100"/>
              <w:bottom w:type="dxa" w:w="100"/>
              <w:right w:type="dxa" w:w="100"/>
            </w:tcMar>
          </w:tcPr>
          <w:p>
            <w:r>
              <w:rPr>
                <w:rFonts w:ascii="Arial" w:cs="Arial" w:eastAsia="Arial" w:hAnsi="Arial"/>
                <w:color w:val="1F2D3D"/>
                <w:sz w:val="16"/>
                <w:szCs w:val="16"/>
              </w:rPr>
              <w:t xml:space="preserve">• KYC / AML check</w:t>
            </w:r>
          </w:p>
          <w:p>
            <w:r>
              <w:rPr>
                <w:rFonts w:ascii="Arial" w:cs="Arial" w:eastAsia="Arial" w:hAnsi="Arial"/>
                <w:color w:val="1F2D3D"/>
                <w:sz w:val="16"/>
                <w:szCs w:val="16"/>
              </w:rPr>
              <w:t xml:space="preserve">• Source of funds</w:t>
            </w:r>
          </w:p>
          <w:p>
            <w:r>
              <w:rPr>
                <w:rFonts w:ascii="Arial" w:cs="Arial" w:eastAsia="Arial" w:hAnsi="Arial"/>
                <w:color w:val="1F2D3D"/>
                <w:sz w:val="16"/>
                <w:szCs w:val="16"/>
              </w:rPr>
              <w:t xml:space="preserve">• FATCA / CRS</w:t>
            </w:r>
          </w:p>
          <w:p>
            <w:r>
              <w:rPr>
                <w:rFonts w:ascii="Arial" w:cs="Arial" w:eastAsia="Arial" w:hAnsi="Arial"/>
                <w:color w:val="1F2D3D"/>
                <w:sz w:val="16"/>
                <w:szCs w:val="16"/>
              </w:rPr>
              <w:t xml:space="preserve">• UBO declaration</w:t>
            </w:r>
          </w:p>
          <w:p>
            <w:r>
              <w:rPr>
                <w:rFonts w:ascii="Arial" w:cs="Arial" w:eastAsia="Arial" w:hAnsi="Arial"/>
                <w:color w:val="1F2D3D"/>
                <w:sz w:val="16"/>
                <w:szCs w:val="16"/>
              </w:rPr>
              <w:t xml:space="preserve">• Legal review</w:t>
            </w:r>
          </w:p>
        </w:tc>
        <w:tc>
          <w:tcPr>
            <w:tcW w:type="dxa" w:w="1872"/>
            <w:tcBorders>
              <w:top w:val="single" w:color="D9D9D9" w:sz="1"/>
              <w:left w:val="single" w:color="D9D9D9" w:sz="1"/>
              <w:bottom w:val="single" w:color="D9D9D9" w:sz="1"/>
              <w:right w:val="single" w:color="D9D9D9" w:sz="1"/>
            </w:tcBorders>
            <w:shd w:fill="F2F2F2" w:val="clear"/>
            <w:tcMar>
              <w:top w:type="dxa" w:w="100"/>
              <w:left w:type="dxa" w:w="100"/>
              <w:bottom w:type="dxa" w:w="100"/>
              <w:right w:type="dxa" w:w="100"/>
            </w:tcMar>
          </w:tcPr>
          <w:p>
            <w:r>
              <w:rPr>
                <w:rFonts w:ascii="Arial" w:cs="Arial" w:eastAsia="Arial" w:hAnsi="Arial"/>
                <w:color w:val="1F2D3D"/>
                <w:sz w:val="16"/>
                <w:szCs w:val="16"/>
              </w:rPr>
              <w:t xml:space="preserve">• Subscription agreement</w:t>
            </w:r>
          </w:p>
          <w:p>
            <w:r>
              <w:rPr>
                <w:rFonts w:ascii="Arial" w:cs="Arial" w:eastAsia="Arial" w:hAnsi="Arial"/>
                <w:color w:val="1F2D3D"/>
                <w:sz w:val="16"/>
                <w:szCs w:val="16"/>
              </w:rPr>
              <w:t xml:space="preserve">• Capital commitment</w:t>
            </w:r>
          </w:p>
          <w:p>
            <w:r>
              <w:rPr>
                <w:rFonts w:ascii="Arial" w:cs="Arial" w:eastAsia="Arial" w:hAnsi="Arial"/>
                <w:color w:val="1F2D3D"/>
                <w:sz w:val="16"/>
                <w:szCs w:val="16"/>
              </w:rPr>
              <w:t xml:space="preserve">• First drawdown</w:t>
            </w:r>
          </w:p>
          <w:p>
            <w:r>
              <w:rPr>
                <w:rFonts w:ascii="Arial" w:cs="Arial" w:eastAsia="Arial" w:hAnsi="Arial"/>
                <w:color w:val="1F2D3D"/>
                <w:sz w:val="16"/>
                <w:szCs w:val="16"/>
              </w:rPr>
              <w:t xml:space="preserve">• Unit allotment</w:t>
            </w:r>
          </w:p>
          <w:p>
            <w:r>
              <w:rPr>
                <w:rFonts w:ascii="Arial" w:cs="Arial" w:eastAsia="Arial" w:hAnsi="Arial"/>
                <w:color w:val="1F2D3D"/>
                <w:sz w:val="16"/>
                <w:szCs w:val="16"/>
              </w:rPr>
              <w:t xml:space="preserve">• SEBI reporting</w:t>
            </w:r>
          </w:p>
        </w:tc>
        <w:tc>
          <w:tcPr>
            <w:tcW w:type="dxa" w:w="1872"/>
            <w:tcBorders>
              <w:top w:val="single" w:color="D9D9D9" w:sz="1"/>
              <w:left w:val="single" w:color="D9D9D9" w:sz="1"/>
              <w:bottom w:val="single" w:color="D9D9D9" w:sz="1"/>
              <w:right w:val="single" w:color="D9D9D9" w:sz="1"/>
            </w:tcBorders>
            <w:shd w:fill="FFFFFF" w:val="clear"/>
            <w:tcMar>
              <w:top w:type="dxa" w:w="100"/>
              <w:left w:type="dxa" w:w="100"/>
              <w:bottom w:type="dxa" w:w="100"/>
              <w:right w:type="dxa" w:w="100"/>
            </w:tcMar>
          </w:tcPr>
          <w:p>
            <w:r>
              <w:rPr>
                <w:rFonts w:ascii="Arial" w:cs="Arial" w:eastAsia="Arial" w:hAnsi="Arial"/>
                <w:color w:val="1F2D3D"/>
                <w:sz w:val="16"/>
                <w:szCs w:val="16"/>
              </w:rPr>
              <w:t xml:space="preserve">• Capital calls</w:t>
            </w:r>
          </w:p>
          <w:p>
            <w:r>
              <w:rPr>
                <w:rFonts w:ascii="Arial" w:cs="Arial" w:eastAsia="Arial" w:hAnsi="Arial"/>
                <w:color w:val="1F2D3D"/>
                <w:sz w:val="16"/>
                <w:szCs w:val="16"/>
              </w:rPr>
              <w:t xml:space="preserve">• NAV reporting</w:t>
            </w:r>
          </w:p>
          <w:p>
            <w:r>
              <w:rPr>
                <w:rFonts w:ascii="Arial" w:cs="Arial" w:eastAsia="Arial" w:hAnsi="Arial"/>
                <w:color w:val="1F2D3D"/>
                <w:sz w:val="16"/>
                <w:szCs w:val="16"/>
              </w:rPr>
              <w:t xml:space="preserve">• Distribution notices</w:t>
            </w:r>
          </w:p>
          <w:p>
            <w:r>
              <w:rPr>
                <w:rFonts w:ascii="Arial" w:cs="Arial" w:eastAsia="Arial" w:hAnsi="Arial"/>
                <w:color w:val="1F2D3D"/>
                <w:sz w:val="16"/>
                <w:szCs w:val="16"/>
              </w:rPr>
              <w:t xml:space="preserve">• Annual statements</w:t>
            </w:r>
          </w:p>
          <w:p>
            <w:r>
              <w:rPr>
                <w:rFonts w:ascii="Arial" w:cs="Arial" w:eastAsia="Arial" w:hAnsi="Arial"/>
                <w:color w:val="1F2D3D"/>
                <w:sz w:val="16"/>
                <w:szCs w:val="16"/>
              </w:rPr>
              <w:t xml:space="preserve">• Renewals / Extensions</w:t>
            </w:r>
          </w:p>
        </w:tc>
      </w:tr>
    </w:tbl>
    <w:p>
      <w:pPr>
        <w:spacing w:before="60" w:after="60"/>
      </w:pPr>
      <w:r>
        <w:t xml:space="preserve"/>
      </w:r>
    </w:p>
    <w:p>
      <w:pPr>
        <w:pStyle w:val="Heading3"/>
        <w:spacing w:before="200" w:after="100"/>
      </w:pPr>
      <w:r>
        <w:rPr>
          <w:rFonts w:ascii="Arial" w:cs="Arial" w:eastAsia="Arial" w:hAnsi="Arial"/>
          <w:b/>
          <w:bCs/>
          <w:color w:val="0D6E6E"/>
          <w:sz w:val="24"/>
          <w:szCs w:val="24"/>
        </w:rPr>
        <w:t xml:space="preserve">9.2.1 AIF Investor Sourcing</w:t>
      </w:r>
    </w:p>
    <w:p>
      <w:pPr>
        <w:pStyle w:val="ListParagraph"/>
        <w:numPr>
          <w:ilvl w:val="0"/>
          <w:numId w:val="2"/>
        </w:numPr>
        <w:spacing w:before="60" w:after="60"/>
      </w:pPr>
      <w:r>
        <w:rPr>
          <w:rFonts w:ascii="Arial" w:cs="Arial" w:eastAsia="Arial" w:hAnsi="Arial"/>
          <w:color w:val="1F2D3D"/>
          <w:sz w:val="20"/>
          <w:szCs w:val="20"/>
        </w:rPr>
        <w:t xml:space="preserve">Investor classification: HNI (min Rs 1 Cr), Institutional LP, NRI, Family Office</w:t>
      </w:r>
    </w:p>
    <w:p>
      <w:pPr>
        <w:pStyle w:val="ListParagraph"/>
        <w:numPr>
          <w:ilvl w:val="0"/>
          <w:numId w:val="2"/>
        </w:numPr>
        <w:spacing w:before="60" w:after="60"/>
      </w:pPr>
      <w:r>
        <w:rPr>
          <w:rFonts w:ascii="Arial" w:cs="Arial" w:eastAsia="Arial" w:hAnsi="Arial"/>
          <w:color w:val="1F2D3D"/>
          <w:sz w:val="20"/>
          <w:szCs w:val="20"/>
        </w:rPr>
        <w:t xml:space="preserve">Fund-specific pipelines: Separate lead pipeline per fund scheme (Fund I, Fund II, etc.)</w:t>
      </w:r>
    </w:p>
    <w:p>
      <w:pPr>
        <w:pStyle w:val="ListParagraph"/>
        <w:numPr>
          <w:ilvl w:val="0"/>
          <w:numId w:val="2"/>
        </w:numPr>
        <w:spacing w:before="60" w:after="60"/>
      </w:pPr>
      <w:r>
        <w:rPr>
          <w:rFonts w:ascii="Arial" w:cs="Arial" w:eastAsia="Arial" w:hAnsi="Arial"/>
          <w:color w:val="1F2D3D"/>
          <w:sz w:val="20"/>
          <w:szCs w:val="20"/>
        </w:rPr>
        <w:t xml:space="preserve">Investor profiling: Risk tolerance, liquidity requirements, sector preferences, ESG constraints</w:t>
      </w:r>
    </w:p>
    <w:p>
      <w:pPr>
        <w:pStyle w:val="ListParagraph"/>
        <w:numPr>
          <w:ilvl w:val="0"/>
          <w:numId w:val="2"/>
        </w:numPr>
        <w:spacing w:before="60" w:after="60"/>
      </w:pPr>
      <w:r>
        <w:rPr>
          <w:rFonts w:ascii="Arial" w:cs="Arial" w:eastAsia="Arial" w:hAnsi="Arial"/>
          <w:color w:val="1F2D3D"/>
          <w:sz w:val="20"/>
          <w:szCs w:val="20"/>
        </w:rPr>
        <w:t xml:space="preserve">Referral partner tracking: Wealth managers, family offices, IFA channel</w:t>
      </w:r>
    </w:p>
    <w:p>
      <w:pPr>
        <w:spacing w:before="60" w:after="60"/>
      </w:pPr>
      <w:r>
        <w:t xml:space="preserve"/>
      </w:r>
    </w:p>
    <w:p>
      <w:pPr>
        <w:pStyle w:val="Heading3"/>
        <w:spacing w:before="200" w:after="100"/>
      </w:pPr>
      <w:r>
        <w:rPr>
          <w:rFonts w:ascii="Arial" w:cs="Arial" w:eastAsia="Arial" w:hAnsi="Arial"/>
          <w:b/>
          <w:bCs/>
          <w:color w:val="0D6E6E"/>
          <w:sz w:val="24"/>
          <w:szCs w:val="24"/>
        </w:rPr>
        <w:t xml:space="preserve">9.2.2 KYC &amp; Subscription</w:t>
      </w:r>
    </w:p>
    <w:p>
      <w:pPr>
        <w:pStyle w:val="ListParagraph"/>
        <w:numPr>
          <w:ilvl w:val="0"/>
          <w:numId w:val="2"/>
        </w:numPr>
        <w:spacing w:before="60" w:after="60"/>
      </w:pPr>
      <w:r>
        <w:rPr>
          <w:rFonts w:ascii="Arial" w:cs="Arial" w:eastAsia="Arial" w:hAnsi="Arial"/>
          <w:color w:val="1F2D3D"/>
          <w:sz w:val="20"/>
          <w:szCs w:val="20"/>
        </w:rPr>
        <w:t xml:space="preserve">SEBI AIF-specific KYC: Enhanced due diligence for UBOs, PEPs, HNIs</w:t>
      </w:r>
    </w:p>
    <w:p>
      <w:pPr>
        <w:pStyle w:val="ListParagraph"/>
        <w:numPr>
          <w:ilvl w:val="0"/>
          <w:numId w:val="2"/>
        </w:numPr>
        <w:spacing w:before="60" w:after="60"/>
      </w:pPr>
      <w:r>
        <w:rPr>
          <w:rFonts w:ascii="Arial" w:cs="Arial" w:eastAsia="Arial" w:hAnsi="Arial"/>
          <w:color w:val="1F2D3D"/>
          <w:sz w:val="20"/>
          <w:szCs w:val="20"/>
        </w:rPr>
        <w:t xml:space="preserve">Source of funds declaration: Mandatory for all commitments above Rs 50 lakhs</w:t>
      </w:r>
    </w:p>
    <w:p>
      <w:pPr>
        <w:pStyle w:val="ListParagraph"/>
        <w:numPr>
          <w:ilvl w:val="0"/>
          <w:numId w:val="2"/>
        </w:numPr>
        <w:spacing w:before="60" w:after="60"/>
      </w:pPr>
      <w:r>
        <w:rPr>
          <w:rFonts w:ascii="Arial" w:cs="Arial" w:eastAsia="Arial" w:hAnsi="Arial"/>
          <w:color w:val="1F2D3D"/>
          <w:sz w:val="20"/>
          <w:szCs w:val="20"/>
        </w:rPr>
        <w:t xml:space="preserve">FATCA/CRS self-certification for foreign investors</w:t>
      </w:r>
    </w:p>
    <w:p>
      <w:pPr>
        <w:pStyle w:val="ListParagraph"/>
        <w:numPr>
          <w:ilvl w:val="0"/>
          <w:numId w:val="2"/>
        </w:numPr>
        <w:spacing w:before="60" w:after="60"/>
      </w:pPr>
      <w:r>
        <w:rPr>
          <w:rFonts w:ascii="Arial" w:cs="Arial" w:eastAsia="Arial" w:hAnsi="Arial"/>
          <w:color w:val="1F2D3D"/>
          <w:sz w:val="20"/>
          <w:szCs w:val="20"/>
        </w:rPr>
        <w:t xml:space="preserve">Subscription agreement workflow: Draft → Legal review → Investor sign → Fund Manager countersign</w:t>
      </w:r>
    </w:p>
    <w:p>
      <w:pPr>
        <w:pStyle w:val="ListParagraph"/>
        <w:numPr>
          <w:ilvl w:val="0"/>
          <w:numId w:val="2"/>
        </w:numPr>
        <w:spacing w:before="60" w:after="60"/>
      </w:pPr>
      <w:r>
        <w:rPr>
          <w:rFonts w:ascii="Arial" w:cs="Arial" w:eastAsia="Arial" w:hAnsi="Arial"/>
          <w:color w:val="1F2D3D"/>
          <w:sz w:val="20"/>
          <w:szCs w:val="20"/>
        </w:rPr>
        <w:t xml:space="preserve">Capital commitment tracking: Total commitment, paid-in capital, uncalled capital per investor</w:t>
      </w:r>
    </w:p>
    <w:p>
      <w:pPr>
        <w:spacing w:before="60" w:after="60"/>
      </w:pPr>
      <w:r>
        <w:t xml:space="preserve"/>
      </w:r>
    </w:p>
    <w:p>
      <w:pPr>
        <w:pStyle w:val="Heading3"/>
        <w:spacing w:before="200" w:after="100"/>
      </w:pPr>
      <w:r>
        <w:rPr>
          <w:rFonts w:ascii="Arial" w:cs="Arial" w:eastAsia="Arial" w:hAnsi="Arial"/>
          <w:b/>
          <w:bCs/>
          <w:color w:val="0D6E6E"/>
          <w:sz w:val="24"/>
          <w:szCs w:val="24"/>
        </w:rPr>
        <w:t xml:space="preserve">9.2.3 Capital Call &amp; Distribution Management</w:t>
      </w:r>
    </w:p>
    <w:p>
      <w:pPr>
        <w:pStyle w:val="ListParagraph"/>
        <w:numPr>
          <w:ilvl w:val="0"/>
          <w:numId w:val="2"/>
        </w:numPr>
        <w:spacing w:before="60" w:after="60"/>
      </w:pPr>
      <w:r>
        <w:rPr>
          <w:rFonts w:ascii="Arial" w:cs="Arial" w:eastAsia="Arial" w:hAnsi="Arial"/>
          <w:color w:val="1F2D3D"/>
          <w:sz w:val="20"/>
          <w:szCs w:val="20"/>
        </w:rPr>
        <w:t xml:space="preserve">Capital call notice generation: Amount, due date, bank details — auto-sent to investor via email/portal</w:t>
      </w:r>
    </w:p>
    <w:p>
      <w:pPr>
        <w:pStyle w:val="ListParagraph"/>
        <w:numPr>
          <w:ilvl w:val="0"/>
          <w:numId w:val="2"/>
        </w:numPr>
        <w:spacing w:before="60" w:after="60"/>
      </w:pPr>
      <w:r>
        <w:rPr>
          <w:rFonts w:ascii="Arial" w:cs="Arial" w:eastAsia="Arial" w:hAnsi="Arial"/>
          <w:color w:val="1F2D3D"/>
          <w:sz w:val="20"/>
          <w:szCs w:val="20"/>
        </w:rPr>
        <w:t xml:space="preserve">Call receipt tracking: Confirm payment received, update paid-in capital</w:t>
      </w:r>
    </w:p>
    <w:p>
      <w:pPr>
        <w:pStyle w:val="ListParagraph"/>
        <w:numPr>
          <w:ilvl w:val="0"/>
          <w:numId w:val="2"/>
        </w:numPr>
        <w:spacing w:before="60" w:after="60"/>
      </w:pPr>
      <w:r>
        <w:rPr>
          <w:rFonts w:ascii="Arial" w:cs="Arial" w:eastAsia="Arial" w:hAnsi="Arial"/>
          <w:color w:val="1F2D3D"/>
          <w:sz w:val="20"/>
          <w:szCs w:val="20"/>
        </w:rPr>
        <w:t xml:space="preserve">Distribution notice: Dividend, interest, return of capital — auto-compute per unit holding</w:t>
      </w:r>
    </w:p>
    <w:p>
      <w:pPr>
        <w:pStyle w:val="ListParagraph"/>
        <w:numPr>
          <w:ilvl w:val="0"/>
          <w:numId w:val="2"/>
        </w:numPr>
        <w:spacing w:before="60" w:after="60"/>
      </w:pPr>
      <w:r>
        <w:rPr>
          <w:rFonts w:ascii="Arial" w:cs="Arial" w:eastAsia="Arial" w:hAnsi="Arial"/>
          <w:color w:val="1F2D3D"/>
          <w:sz w:val="20"/>
          <w:szCs w:val="20"/>
        </w:rPr>
        <w:t xml:space="preserve">Waterfall calculation integration: Connect to fund accounting system for distribution amounts</w:t>
      </w:r>
    </w:p>
    <w:p>
      <w:pPr>
        <w:spacing w:before="60" w:after="60"/>
      </w:pPr>
      <w:r>
        <w:t xml:space="preserve"/>
      </w:r>
    </w:p>
    <w:p>
      <w:pPr>
        <w:pStyle w:val="Heading3"/>
        <w:spacing w:before="200" w:after="100"/>
      </w:pPr>
      <w:r>
        <w:rPr>
          <w:rFonts w:ascii="Arial" w:cs="Arial" w:eastAsia="Arial" w:hAnsi="Arial"/>
          <w:b/>
          <w:bCs/>
          <w:color w:val="0D6E6E"/>
          <w:sz w:val="24"/>
          <w:szCs w:val="24"/>
        </w:rPr>
        <w:t xml:space="preserve">9.2.4 Investor Relations &amp; Reporting</w:t>
      </w:r>
    </w:p>
    <w:p>
      <w:pPr>
        <w:pStyle w:val="ListParagraph"/>
        <w:numPr>
          <w:ilvl w:val="0"/>
          <w:numId w:val="2"/>
        </w:numPr>
        <w:spacing w:before="60" w:after="60"/>
      </w:pPr>
      <w:r>
        <w:rPr>
          <w:rFonts w:ascii="Arial" w:cs="Arial" w:eastAsia="Arial" w:hAnsi="Arial"/>
          <w:color w:val="1F2D3D"/>
          <w:sz w:val="20"/>
          <w:szCs w:val="20"/>
        </w:rPr>
        <w:t xml:space="preserve">NAV statement dispatch: Monthly/quarterly to all investors via email and portal</w:t>
      </w:r>
    </w:p>
    <w:p>
      <w:pPr>
        <w:pStyle w:val="ListParagraph"/>
        <w:numPr>
          <w:ilvl w:val="0"/>
          <w:numId w:val="2"/>
        </w:numPr>
        <w:spacing w:before="60" w:after="60"/>
      </w:pPr>
      <w:r>
        <w:rPr>
          <w:rFonts w:ascii="Arial" w:cs="Arial" w:eastAsia="Arial" w:hAnsi="Arial"/>
          <w:color w:val="1F2D3D"/>
          <w:sz w:val="20"/>
          <w:szCs w:val="20"/>
        </w:rPr>
        <w:t xml:space="preserve">Annual financial statements and audited reports in AWS S3 with investor portal access</w:t>
      </w:r>
    </w:p>
    <w:p>
      <w:pPr>
        <w:pStyle w:val="ListParagraph"/>
        <w:numPr>
          <w:ilvl w:val="0"/>
          <w:numId w:val="2"/>
        </w:numPr>
        <w:spacing w:before="60" w:after="60"/>
      </w:pPr>
      <w:r>
        <w:rPr>
          <w:rFonts w:ascii="Arial" w:cs="Arial" w:eastAsia="Arial" w:hAnsi="Arial"/>
          <w:color w:val="1F2D3D"/>
          <w:sz w:val="20"/>
          <w:szCs w:val="20"/>
        </w:rPr>
        <w:t xml:space="preserve">SEBI quarterly reporting: Auto-compile investor data for Form A / Form B filing</w:t>
      </w:r>
    </w:p>
    <w:p>
      <w:pPr>
        <w:pStyle w:val="ListParagraph"/>
        <w:numPr>
          <w:ilvl w:val="0"/>
          <w:numId w:val="2"/>
        </w:numPr>
        <w:spacing w:before="60" w:after="60"/>
      </w:pPr>
      <w:r>
        <w:rPr>
          <w:rFonts w:ascii="Arial" w:cs="Arial" w:eastAsia="Arial" w:hAnsi="Arial"/>
          <w:color w:val="1F2D3D"/>
          <w:sz w:val="20"/>
          <w:szCs w:val="20"/>
        </w:rPr>
        <w:t xml:space="preserve">Investor query tracking: AIF-specific SR category linked to CS module</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9.3 AIF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Widget</w:t>
            </w:r>
          </w:p>
        </w:tc>
        <w:tc>
          <w:tcPr>
            <w:tcW w:type="dxa" w:w="61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Metric</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Fund AUM</w:t>
            </w:r>
          </w:p>
        </w:tc>
        <w:tc>
          <w:tcPr>
            <w:tcW w:type="dxa" w:w="6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Total commitments vs paid-in capital by fund</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Investor Pipeline</w:t>
            </w:r>
          </w:p>
        </w:tc>
        <w:tc>
          <w:tcPr>
            <w:tcW w:type="dxa" w:w="6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Prospects by stage and expected commitment</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Capital Call Status</w:t>
            </w:r>
          </w:p>
        </w:tc>
        <w:tc>
          <w:tcPr>
            <w:tcW w:type="dxa" w:w="6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Pending calls, received, overdue</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Distribution History</w:t>
            </w:r>
          </w:p>
        </w:tc>
        <w:tc>
          <w:tcPr>
            <w:tcW w:type="dxa" w:w="6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Amount distributed per fund per quarter</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SEBI Compliance</w:t>
            </w:r>
          </w:p>
        </w:tc>
        <w:tc>
          <w:tcPr>
            <w:tcW w:type="dxa" w:w="6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Upcoming filing deadlines and completion status</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Investor Count</w:t>
            </w:r>
          </w:p>
        </w:tc>
        <w:tc>
          <w:tcPr>
            <w:tcW w:type="dxa" w:w="6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By category (HNI, Institutional, NRI) and fund</w:t>
            </w:r>
          </w:p>
        </w:tc>
      </w:tr>
    </w:tbl>
    <w:p>
      <w:pPr>
        <w:spacing w:before="60" w:after="60"/>
      </w:pPr>
      <w:r>
        <w:t xml:space="preserve"/>
      </w:r>
    </w:p>
    <w:p>
      <w:pPr>
        <w:pStyle w:val="Heading1"/>
        <w:pageBreakBefore/>
        <w:spacing w:before="360" w:after="180"/>
      </w:pPr>
      <w:r>
        <w:rPr>
          <w:rFonts w:ascii="Arial" w:cs="Arial" w:eastAsia="Arial" w:hAnsi="Arial"/>
          <w:b/>
          <w:bCs/>
          <w:color w:val="1B3A6B"/>
          <w:sz w:val="36"/>
          <w:szCs w:val="36"/>
        </w:rPr>
        <w:t xml:space="preserve">10. Module 5: Institutional Equities CRM</w:t>
      </w:r>
    </w:p>
    <w:p>
      <w:pPr>
        <w:pStyle w:val="Heading2"/>
        <w:pBdr>
          <w:bottom w:val="single" w:color="2E75B6" w:sz="4" w:space="4"/>
        </w:pBdr>
        <w:spacing w:before="280" w:after="140"/>
      </w:pPr>
      <w:r>
        <w:rPr>
          <w:rFonts w:ascii="Arial" w:cs="Arial" w:eastAsia="Arial" w:hAnsi="Arial"/>
          <w:b/>
          <w:bCs/>
          <w:color w:val="2E75B6"/>
          <w:sz w:val="28"/>
          <w:szCs w:val="28"/>
        </w:rPr>
        <w:t xml:space="preserve">10.1 Module Overview</w:t>
      </w:r>
    </w:p>
    <w:p>
      <w:pPr>
        <w:spacing w:before="80" w:after="80"/>
      </w:pPr>
      <w:r>
        <w:rPr>
          <w:rFonts w:ascii="Arial" w:cs="Arial" w:eastAsia="Arial" w:hAnsi="Arial"/>
          <w:color w:val="1F2D3D"/>
          <w:sz w:val="20"/>
          <w:szCs w:val="20"/>
        </w:rPr>
        <w:t xml:space="preserve">The Institutional Equities CRM module manages relationships with buy-side institutions including Asset Managers, Hedge Funds, Pension Funds, Insurance Companies, and Sovereign Wealth Funds. Key functions include vote and wallet share tracking, research distribution, corporate access management, and MiFID II compliance.</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10.2 Lead-to-Closure Workflow – Institutional Equities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75B6" w:sz="1"/>
              <w:left w:val="single" w:color="2E75B6" w:sz="1"/>
              <w:bottom w:val="single" w:color="2E75B6" w:sz="1"/>
              <w:right w:val="single" w:color="2E75B6" w:sz="1"/>
            </w:tcBorders>
            <w:shd w:fill="1B3A6B" w:val="clear"/>
            <w:tcMar>
              <w:top w:type="dxa" w:w="100"/>
              <w:left w:type="dxa" w:w="100"/>
              <w:bottom w:type="dxa" w:w="100"/>
              <w:right w:type="dxa" w:w="100"/>
            </w:tcMar>
          </w:tcPr>
          <w:p>
            <w:pPr>
              <w:jc w:val="center"/>
            </w:pPr>
            <w:r>
              <w:rPr>
                <w:rFonts w:ascii="Arial" w:cs="Arial" w:eastAsia="Arial" w:hAnsi="Arial"/>
                <w:b/>
                <w:bCs/>
                <w:color w:val="D6E4F0"/>
                <w:sz w:val="16"/>
                <w:szCs w:val="16"/>
              </w:rPr>
              <w:t xml:space="preserve">Step 1</w:t>
            </w:r>
          </w:p>
          <w:p>
            <w:pPr>
              <w:jc w:val="center"/>
            </w:pPr>
            <w:r>
              <w:rPr>
                <w:rFonts w:ascii="Arial" w:cs="Arial" w:eastAsia="Arial" w:hAnsi="Arial"/>
                <w:b/>
                <w:bCs/>
                <w:color w:val="FFFFFF"/>
                <w:sz w:val="18"/>
                <w:szCs w:val="18"/>
              </w:rPr>
              <w:t xml:space="preserve">Institution ID</w:t>
            </w:r>
          </w:p>
        </w:tc>
        <w:tc>
          <w:tcPr>
            <w:tcW w:type="dxa" w:w="1872"/>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rFonts w:ascii="Arial" w:cs="Arial" w:eastAsia="Arial" w:hAnsi="Arial"/>
                <w:b/>
                <w:bCs/>
                <w:color w:val="D6E4F0"/>
                <w:sz w:val="16"/>
                <w:szCs w:val="16"/>
              </w:rPr>
              <w:t xml:space="preserve">Step 2</w:t>
            </w:r>
          </w:p>
          <w:p>
            <w:pPr>
              <w:jc w:val="center"/>
            </w:pPr>
            <w:r>
              <w:rPr>
                <w:rFonts w:ascii="Arial" w:cs="Arial" w:eastAsia="Arial" w:hAnsi="Arial"/>
                <w:b/>
                <w:bCs/>
                <w:color w:val="FFFFFF"/>
                <w:sz w:val="18"/>
                <w:szCs w:val="18"/>
              </w:rPr>
              <w:t xml:space="preserve">Relationship Build</w:t>
            </w:r>
          </w:p>
        </w:tc>
        <w:tc>
          <w:tcPr>
            <w:tcW w:type="dxa" w:w="1872"/>
            <w:tcBorders>
              <w:top w:val="single" w:color="2E75B6" w:sz="1"/>
              <w:left w:val="single" w:color="2E75B6" w:sz="1"/>
              <w:bottom w:val="single" w:color="2E75B6" w:sz="1"/>
              <w:right w:val="single" w:color="2E75B6" w:sz="1"/>
            </w:tcBorders>
            <w:shd w:fill="1B3A6B" w:val="clear"/>
            <w:tcMar>
              <w:top w:type="dxa" w:w="100"/>
              <w:left w:type="dxa" w:w="100"/>
              <w:bottom w:type="dxa" w:w="100"/>
              <w:right w:type="dxa" w:w="100"/>
            </w:tcMar>
          </w:tcPr>
          <w:p>
            <w:pPr>
              <w:jc w:val="center"/>
            </w:pPr>
            <w:r>
              <w:rPr>
                <w:rFonts w:ascii="Arial" w:cs="Arial" w:eastAsia="Arial" w:hAnsi="Arial"/>
                <w:b/>
                <w:bCs/>
                <w:color w:val="D6E4F0"/>
                <w:sz w:val="16"/>
                <w:szCs w:val="16"/>
              </w:rPr>
              <w:t xml:space="preserve">Step 3</w:t>
            </w:r>
          </w:p>
          <w:p>
            <w:pPr>
              <w:jc w:val="center"/>
            </w:pPr>
            <w:r>
              <w:rPr>
                <w:rFonts w:ascii="Arial" w:cs="Arial" w:eastAsia="Arial" w:hAnsi="Arial"/>
                <w:b/>
                <w:bCs/>
                <w:color w:val="FFFFFF"/>
                <w:sz w:val="18"/>
                <w:szCs w:val="18"/>
              </w:rPr>
              <w:t xml:space="preserve">Empanelment</w:t>
            </w:r>
          </w:p>
        </w:tc>
        <w:tc>
          <w:tcPr>
            <w:tcW w:type="dxa" w:w="1872"/>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rFonts w:ascii="Arial" w:cs="Arial" w:eastAsia="Arial" w:hAnsi="Arial"/>
                <w:b/>
                <w:bCs/>
                <w:color w:val="D6E4F0"/>
                <w:sz w:val="16"/>
                <w:szCs w:val="16"/>
              </w:rPr>
              <w:t xml:space="preserve">Step 4</w:t>
            </w:r>
          </w:p>
          <w:p>
            <w:pPr>
              <w:jc w:val="center"/>
            </w:pPr>
            <w:r>
              <w:rPr>
                <w:rFonts w:ascii="Arial" w:cs="Arial" w:eastAsia="Arial" w:hAnsi="Arial"/>
                <w:b/>
                <w:bCs/>
                <w:color w:val="FFFFFF"/>
                <w:sz w:val="18"/>
                <w:szCs w:val="18"/>
              </w:rPr>
              <w:t xml:space="preserve">Active Coverage</w:t>
            </w:r>
          </w:p>
        </w:tc>
        <w:tc>
          <w:tcPr>
            <w:tcW w:type="dxa" w:w="1872"/>
            <w:tcBorders>
              <w:top w:val="single" w:color="2E75B6" w:sz="1"/>
              <w:left w:val="single" w:color="2E75B6" w:sz="1"/>
              <w:bottom w:val="single" w:color="2E75B6" w:sz="1"/>
              <w:right w:val="single" w:color="2E75B6" w:sz="1"/>
            </w:tcBorders>
            <w:shd w:fill="1B3A6B" w:val="clear"/>
            <w:tcMar>
              <w:top w:type="dxa" w:w="100"/>
              <w:left w:type="dxa" w:w="100"/>
              <w:bottom w:type="dxa" w:w="100"/>
              <w:right w:type="dxa" w:w="100"/>
            </w:tcMar>
          </w:tcPr>
          <w:p>
            <w:pPr>
              <w:jc w:val="center"/>
            </w:pPr>
            <w:r>
              <w:rPr>
                <w:rFonts w:ascii="Arial" w:cs="Arial" w:eastAsia="Arial" w:hAnsi="Arial"/>
                <w:b/>
                <w:bCs/>
                <w:color w:val="D6E4F0"/>
                <w:sz w:val="16"/>
                <w:szCs w:val="16"/>
              </w:rPr>
              <w:t xml:space="preserve">Step 5</w:t>
            </w:r>
          </w:p>
          <w:p>
            <w:pPr>
              <w:jc w:val="center"/>
            </w:pPr>
            <w:r>
              <w:rPr>
                <w:rFonts w:ascii="Arial" w:cs="Arial" w:eastAsia="Arial" w:hAnsi="Arial"/>
                <w:b/>
                <w:bCs/>
                <w:color w:val="FFFFFF"/>
                <w:sz w:val="18"/>
                <w:szCs w:val="18"/>
              </w:rPr>
              <w:t xml:space="preserve">Review &amp; Expansion</w:t>
            </w:r>
          </w:p>
        </w:tc>
      </w:tr>
      <w:tr>
        <w:tc>
          <w:tcPr>
            <w:tcW w:type="dxa" w:w="1872"/>
            <w:tcBorders>
              <w:top w:val="single" w:color="D9D9D9" w:sz="1"/>
              <w:left w:val="single" w:color="D9D9D9" w:sz="1"/>
              <w:bottom w:val="single" w:color="D9D9D9" w:sz="1"/>
              <w:right w:val="single" w:color="D9D9D9" w:sz="1"/>
            </w:tcBorders>
            <w:shd w:fill="FFFFFF" w:val="clear"/>
            <w:tcMar>
              <w:top w:type="dxa" w:w="100"/>
              <w:left w:type="dxa" w:w="100"/>
              <w:bottom w:type="dxa" w:w="100"/>
              <w:right w:type="dxa" w:w="100"/>
            </w:tcMar>
          </w:tcPr>
          <w:p>
            <w:r>
              <w:rPr>
                <w:rFonts w:ascii="Arial" w:cs="Arial" w:eastAsia="Arial" w:hAnsi="Arial"/>
                <w:color w:val="1F2D3D"/>
                <w:sz w:val="16"/>
                <w:szCs w:val="16"/>
              </w:rPr>
              <w:t xml:space="preserve">• Target buy-side list</w:t>
            </w:r>
          </w:p>
          <w:p>
            <w:r>
              <w:rPr>
                <w:rFonts w:ascii="Arial" w:cs="Arial" w:eastAsia="Arial" w:hAnsi="Arial"/>
                <w:color w:val="1F2D3D"/>
                <w:sz w:val="16"/>
                <w:szCs w:val="16"/>
              </w:rPr>
              <w:t xml:space="preserve">• Conference network</w:t>
            </w:r>
          </w:p>
          <w:p>
            <w:r>
              <w:rPr>
                <w:rFonts w:ascii="Arial" w:cs="Arial" w:eastAsia="Arial" w:hAnsi="Arial"/>
                <w:color w:val="1F2D3D"/>
                <w:sz w:val="16"/>
                <w:szCs w:val="16"/>
              </w:rPr>
              <w:t xml:space="preserve">• Bloomberg reach-out</w:t>
            </w:r>
          </w:p>
          <w:p>
            <w:r>
              <w:rPr>
                <w:rFonts w:ascii="Arial" w:cs="Arial" w:eastAsia="Arial" w:hAnsi="Arial"/>
                <w:color w:val="1F2D3D"/>
                <w:sz w:val="16"/>
                <w:szCs w:val="16"/>
              </w:rPr>
              <w:t xml:space="preserve">• Research intro</w:t>
            </w:r>
          </w:p>
        </w:tc>
        <w:tc>
          <w:tcPr>
            <w:tcW w:type="dxa" w:w="1872"/>
            <w:tcBorders>
              <w:top w:val="single" w:color="D9D9D9" w:sz="1"/>
              <w:left w:val="single" w:color="D9D9D9" w:sz="1"/>
              <w:bottom w:val="single" w:color="D9D9D9" w:sz="1"/>
              <w:right w:val="single" w:color="D9D9D9" w:sz="1"/>
            </w:tcBorders>
            <w:shd w:fill="F2F2F2" w:val="clear"/>
            <w:tcMar>
              <w:top w:type="dxa" w:w="100"/>
              <w:left w:type="dxa" w:w="100"/>
              <w:bottom w:type="dxa" w:w="100"/>
              <w:right w:type="dxa" w:w="100"/>
            </w:tcMar>
          </w:tcPr>
          <w:p>
            <w:r>
              <w:rPr>
                <w:rFonts w:ascii="Arial" w:cs="Arial" w:eastAsia="Arial" w:hAnsi="Arial"/>
                <w:color w:val="1F2D3D"/>
                <w:sz w:val="16"/>
                <w:szCs w:val="16"/>
              </w:rPr>
              <w:t xml:space="preserve">• Research trial</w:t>
            </w:r>
          </w:p>
          <w:p>
            <w:r>
              <w:rPr>
                <w:rFonts w:ascii="Arial" w:cs="Arial" w:eastAsia="Arial" w:hAnsi="Arial"/>
                <w:color w:val="1F2D3D"/>
                <w:sz w:val="16"/>
                <w:szCs w:val="16"/>
              </w:rPr>
              <w:t xml:space="preserve">• Analyst intro</w:t>
            </w:r>
          </w:p>
          <w:p>
            <w:r>
              <w:rPr>
                <w:rFonts w:ascii="Arial" w:cs="Arial" w:eastAsia="Arial" w:hAnsi="Arial"/>
                <w:color w:val="1F2D3D"/>
                <w:sz w:val="16"/>
                <w:szCs w:val="16"/>
              </w:rPr>
              <w:t xml:space="preserve">• NDR / Conf call</w:t>
            </w:r>
          </w:p>
          <w:p>
            <w:r>
              <w:rPr>
                <w:rFonts w:ascii="Arial" w:cs="Arial" w:eastAsia="Arial" w:hAnsi="Arial"/>
                <w:color w:val="1F2D3D"/>
                <w:sz w:val="16"/>
                <w:szCs w:val="16"/>
              </w:rPr>
              <w:t xml:space="preserve">• Desk visit</w:t>
            </w:r>
          </w:p>
        </w:tc>
        <w:tc>
          <w:tcPr>
            <w:tcW w:type="dxa" w:w="1872"/>
            <w:tcBorders>
              <w:top w:val="single" w:color="D9D9D9" w:sz="1"/>
              <w:left w:val="single" w:color="D9D9D9" w:sz="1"/>
              <w:bottom w:val="single" w:color="D9D9D9" w:sz="1"/>
              <w:right w:val="single" w:color="D9D9D9" w:sz="1"/>
            </w:tcBorders>
            <w:shd w:fill="FFFFFF" w:val="clear"/>
            <w:tcMar>
              <w:top w:type="dxa" w:w="100"/>
              <w:left w:type="dxa" w:w="100"/>
              <w:bottom w:type="dxa" w:w="100"/>
              <w:right w:type="dxa" w:w="100"/>
            </w:tcMar>
          </w:tcPr>
          <w:p>
            <w:r>
              <w:rPr>
                <w:rFonts w:ascii="Arial" w:cs="Arial" w:eastAsia="Arial" w:hAnsi="Arial"/>
                <w:color w:val="1F2D3D"/>
                <w:sz w:val="16"/>
                <w:szCs w:val="16"/>
              </w:rPr>
              <w:t xml:space="preserve">• ISDA / CSA</w:t>
            </w:r>
          </w:p>
          <w:p>
            <w:r>
              <w:rPr>
                <w:rFonts w:ascii="Arial" w:cs="Arial" w:eastAsia="Arial" w:hAnsi="Arial"/>
                <w:color w:val="1F2D3D"/>
                <w:sz w:val="16"/>
                <w:szCs w:val="16"/>
              </w:rPr>
              <w:t xml:space="preserve">• SEBI registration</w:t>
            </w:r>
          </w:p>
          <w:p>
            <w:r>
              <w:rPr>
                <w:rFonts w:ascii="Arial" w:cs="Arial" w:eastAsia="Arial" w:hAnsi="Arial"/>
                <w:color w:val="1F2D3D"/>
                <w:sz w:val="16"/>
                <w:szCs w:val="16"/>
              </w:rPr>
              <w:t xml:space="preserve">• Commission agree.</w:t>
            </w:r>
          </w:p>
          <w:p>
            <w:r>
              <w:rPr>
                <w:rFonts w:ascii="Arial" w:cs="Arial" w:eastAsia="Arial" w:hAnsi="Arial"/>
                <w:color w:val="1F2D3D"/>
                <w:sz w:val="16"/>
                <w:szCs w:val="16"/>
              </w:rPr>
              <w:t xml:space="preserve">• Research entitlement</w:t>
            </w:r>
          </w:p>
        </w:tc>
        <w:tc>
          <w:tcPr>
            <w:tcW w:type="dxa" w:w="1872"/>
            <w:tcBorders>
              <w:top w:val="single" w:color="D9D9D9" w:sz="1"/>
              <w:left w:val="single" w:color="D9D9D9" w:sz="1"/>
              <w:bottom w:val="single" w:color="D9D9D9" w:sz="1"/>
              <w:right w:val="single" w:color="D9D9D9" w:sz="1"/>
            </w:tcBorders>
            <w:shd w:fill="F2F2F2" w:val="clear"/>
            <w:tcMar>
              <w:top w:type="dxa" w:w="100"/>
              <w:left w:type="dxa" w:w="100"/>
              <w:bottom w:type="dxa" w:w="100"/>
              <w:right w:type="dxa" w:w="100"/>
            </w:tcMar>
          </w:tcPr>
          <w:p>
            <w:r>
              <w:rPr>
                <w:rFonts w:ascii="Arial" w:cs="Arial" w:eastAsia="Arial" w:hAnsi="Arial"/>
                <w:color w:val="1F2D3D"/>
                <w:sz w:val="16"/>
                <w:szCs w:val="16"/>
              </w:rPr>
              <w:t xml:space="preserve">• Order flow</w:t>
            </w:r>
          </w:p>
          <w:p>
            <w:r>
              <w:rPr>
                <w:rFonts w:ascii="Arial" w:cs="Arial" w:eastAsia="Arial" w:hAnsi="Arial"/>
                <w:color w:val="1F2D3D"/>
                <w:sz w:val="16"/>
                <w:szCs w:val="16"/>
              </w:rPr>
              <w:t xml:space="preserve">• Research distribution</w:t>
            </w:r>
          </w:p>
          <w:p>
            <w:r>
              <w:rPr>
                <w:rFonts w:ascii="Arial" w:cs="Arial" w:eastAsia="Arial" w:hAnsi="Arial"/>
                <w:color w:val="1F2D3D"/>
                <w:sz w:val="16"/>
                <w:szCs w:val="16"/>
              </w:rPr>
              <w:t xml:space="preserve">• Corporate access</w:t>
            </w:r>
          </w:p>
          <w:p>
            <w:r>
              <w:rPr>
                <w:rFonts w:ascii="Arial" w:cs="Arial" w:eastAsia="Arial" w:hAnsi="Arial"/>
                <w:color w:val="1F2D3D"/>
                <w:sz w:val="16"/>
                <w:szCs w:val="16"/>
              </w:rPr>
              <w:t xml:space="preserve">• Wallet share tracking</w:t>
            </w:r>
          </w:p>
        </w:tc>
        <w:tc>
          <w:tcPr>
            <w:tcW w:type="dxa" w:w="1872"/>
            <w:tcBorders>
              <w:top w:val="single" w:color="D9D9D9" w:sz="1"/>
              <w:left w:val="single" w:color="D9D9D9" w:sz="1"/>
              <w:bottom w:val="single" w:color="D9D9D9" w:sz="1"/>
              <w:right w:val="single" w:color="D9D9D9" w:sz="1"/>
            </w:tcBorders>
            <w:shd w:fill="FFFFFF" w:val="clear"/>
            <w:tcMar>
              <w:top w:type="dxa" w:w="100"/>
              <w:left w:type="dxa" w:w="100"/>
              <w:bottom w:type="dxa" w:w="100"/>
              <w:right w:type="dxa" w:w="100"/>
            </w:tcMar>
          </w:tcPr>
          <w:p>
            <w:r>
              <w:rPr>
                <w:rFonts w:ascii="Arial" w:cs="Arial" w:eastAsia="Arial" w:hAnsi="Arial"/>
                <w:color w:val="1F2D3D"/>
                <w:sz w:val="16"/>
                <w:szCs w:val="16"/>
              </w:rPr>
              <w:t xml:space="preserve">• Vote capture</w:t>
            </w:r>
          </w:p>
          <w:p>
            <w:r>
              <w:rPr>
                <w:rFonts w:ascii="Arial" w:cs="Arial" w:eastAsia="Arial" w:hAnsi="Arial"/>
                <w:color w:val="1F2D3D"/>
                <w:sz w:val="16"/>
                <w:szCs w:val="16"/>
              </w:rPr>
              <w:t xml:space="preserve">• Annual review</w:t>
            </w:r>
          </w:p>
          <w:p>
            <w:r>
              <w:rPr>
                <w:rFonts w:ascii="Arial" w:cs="Arial" w:eastAsia="Arial" w:hAnsi="Arial"/>
                <w:color w:val="1F2D3D"/>
                <w:sz w:val="16"/>
                <w:szCs w:val="16"/>
              </w:rPr>
              <w:t xml:space="preserve">• Product expansion</w:t>
            </w:r>
          </w:p>
          <w:p>
            <w:r>
              <w:rPr>
                <w:rFonts w:ascii="Arial" w:cs="Arial" w:eastAsia="Arial" w:hAnsi="Arial"/>
                <w:color w:val="1F2D3D"/>
                <w:sz w:val="16"/>
                <w:szCs w:val="16"/>
              </w:rPr>
              <w:t xml:space="preserve">• Fund new team</w:t>
            </w:r>
          </w:p>
        </w:tc>
      </w:tr>
    </w:tbl>
    <w:p>
      <w:pPr>
        <w:spacing w:before="60" w:after="60"/>
      </w:pPr>
      <w:r>
        <w:t xml:space="preserve"/>
      </w:r>
    </w:p>
    <w:p>
      <w:pPr>
        <w:pStyle w:val="Heading3"/>
        <w:spacing w:before="200" w:after="100"/>
      </w:pPr>
      <w:r>
        <w:rPr>
          <w:rFonts w:ascii="Arial" w:cs="Arial" w:eastAsia="Arial" w:hAnsi="Arial"/>
          <w:b/>
          <w:bCs/>
          <w:color w:val="0D6E6E"/>
          <w:sz w:val="24"/>
          <w:szCs w:val="24"/>
        </w:rPr>
        <w:t xml:space="preserve">10.2.1 Institutional Client Profiles</w:t>
      </w:r>
    </w:p>
    <w:p>
      <w:pPr>
        <w:pStyle w:val="ListParagraph"/>
        <w:numPr>
          <w:ilvl w:val="0"/>
          <w:numId w:val="2"/>
        </w:numPr>
        <w:spacing w:before="60" w:after="60"/>
      </w:pPr>
      <w:r>
        <w:rPr>
          <w:rFonts w:ascii="Arial" w:cs="Arial" w:eastAsia="Arial" w:hAnsi="Arial"/>
          <w:color w:val="1F2D3D"/>
          <w:sz w:val="20"/>
          <w:szCs w:val="20"/>
        </w:rPr>
        <w:t xml:space="preserve">Institution type: Asset Manager, Hedge Fund, Pension Fund, Insurance, SWF, Family Office</w:t>
      </w:r>
    </w:p>
    <w:p>
      <w:pPr>
        <w:pStyle w:val="ListParagraph"/>
        <w:numPr>
          <w:ilvl w:val="0"/>
          <w:numId w:val="2"/>
        </w:numPr>
        <w:spacing w:before="60" w:after="60"/>
      </w:pPr>
      <w:r>
        <w:rPr>
          <w:rFonts w:ascii="Arial" w:cs="Arial" w:eastAsia="Arial" w:hAnsi="Arial"/>
          <w:color w:val="1F2D3D"/>
          <w:sz w:val="20"/>
          <w:szCs w:val="20"/>
        </w:rPr>
        <w:t xml:space="preserve">AUM tracking: Total AUM, India equity AUM, estimated India market wallet</w:t>
      </w:r>
    </w:p>
    <w:p>
      <w:pPr>
        <w:pStyle w:val="ListParagraph"/>
        <w:numPr>
          <w:ilvl w:val="0"/>
          <w:numId w:val="2"/>
        </w:numPr>
        <w:spacing w:before="60" w:after="60"/>
      </w:pPr>
      <w:r>
        <w:rPr>
          <w:rFonts w:ascii="Arial" w:cs="Arial" w:eastAsia="Arial" w:hAnsi="Arial"/>
          <w:color w:val="1F2D3D"/>
          <w:sz w:val="20"/>
          <w:szCs w:val="20"/>
        </w:rPr>
        <w:t xml:space="preserve">Key contacts: CIO, Fund Manager, Head of Equities, Trader, Compliance — with Bloomberg chat IDs</w:t>
      </w:r>
    </w:p>
    <w:p>
      <w:pPr>
        <w:pStyle w:val="ListParagraph"/>
        <w:numPr>
          <w:ilvl w:val="0"/>
          <w:numId w:val="2"/>
        </w:numPr>
        <w:spacing w:before="60" w:after="60"/>
      </w:pPr>
      <w:r>
        <w:rPr>
          <w:rFonts w:ascii="Arial" w:cs="Arial" w:eastAsia="Arial" w:hAnsi="Arial"/>
          <w:color w:val="1F2D3D"/>
          <w:sz w:val="20"/>
          <w:szCs w:val="20"/>
        </w:rPr>
        <w:t xml:space="preserve">Mandate tracking: Active mandates by strategy (Large Cap, Mid Cap, Sector, Thematic)</w:t>
      </w:r>
    </w:p>
    <w:p>
      <w:pPr>
        <w:spacing w:before="60" w:after="60"/>
      </w:pPr>
      <w:r>
        <w:t xml:space="preserve"/>
      </w:r>
    </w:p>
    <w:p>
      <w:pPr>
        <w:pStyle w:val="Heading3"/>
        <w:spacing w:before="200" w:after="100"/>
      </w:pPr>
      <w:r>
        <w:rPr>
          <w:rFonts w:ascii="Arial" w:cs="Arial" w:eastAsia="Arial" w:hAnsi="Arial"/>
          <w:b/>
          <w:bCs/>
          <w:color w:val="0D6E6E"/>
          <w:sz w:val="24"/>
          <w:szCs w:val="24"/>
        </w:rPr>
        <w:t xml:space="preserve">10.2.2 Vote &amp; Wallet Share Tracking</w:t>
      </w:r>
    </w:p>
    <w:p>
      <w:pPr>
        <w:pStyle w:val="ListParagraph"/>
        <w:numPr>
          <w:ilvl w:val="0"/>
          <w:numId w:val="2"/>
        </w:numPr>
        <w:spacing w:before="60" w:after="60"/>
      </w:pPr>
      <w:r>
        <w:rPr>
          <w:rFonts w:ascii="Arial" w:cs="Arial" w:eastAsia="Arial" w:hAnsi="Arial"/>
          <w:color w:val="1F2D3D"/>
          <w:sz w:val="20"/>
          <w:szCs w:val="20"/>
        </w:rPr>
        <w:t xml:space="preserve">Commission budget: Estimated annual broker commission spend by institution</w:t>
      </w:r>
    </w:p>
    <w:p>
      <w:pPr>
        <w:pStyle w:val="ListParagraph"/>
        <w:numPr>
          <w:ilvl w:val="0"/>
          <w:numId w:val="2"/>
        </w:numPr>
        <w:spacing w:before="60" w:after="60"/>
      </w:pPr>
      <w:r>
        <w:rPr>
          <w:rFonts w:ascii="Arial" w:cs="Arial" w:eastAsia="Arial" w:hAnsi="Arial"/>
          <w:color w:val="1F2D3D"/>
          <w:sz w:val="20"/>
          <w:szCs w:val="20"/>
        </w:rPr>
        <w:t xml:space="preserve">Our share: Estimated % and absolute amount of wallet captured</w:t>
      </w:r>
    </w:p>
    <w:p>
      <w:pPr>
        <w:pStyle w:val="ListParagraph"/>
        <w:numPr>
          <w:ilvl w:val="0"/>
          <w:numId w:val="2"/>
        </w:numPr>
        <w:spacing w:before="60" w:after="60"/>
      </w:pPr>
      <w:r>
        <w:rPr>
          <w:rFonts w:ascii="Arial" w:cs="Arial" w:eastAsia="Arial" w:hAnsi="Arial"/>
          <w:color w:val="1F2D3D"/>
          <w:sz w:val="20"/>
          <w:szCs w:val="20"/>
        </w:rPr>
        <w:t xml:space="preserve">Vote capture: Annual broker votes from institution — record ranking and score</w:t>
      </w:r>
    </w:p>
    <w:p>
      <w:pPr>
        <w:pStyle w:val="ListParagraph"/>
        <w:numPr>
          <w:ilvl w:val="0"/>
          <w:numId w:val="2"/>
        </w:numPr>
        <w:spacing w:before="60" w:after="60"/>
      </w:pPr>
      <w:r>
        <w:rPr>
          <w:rFonts w:ascii="Arial" w:cs="Arial" w:eastAsia="Arial" w:hAnsi="Arial"/>
          <w:color w:val="1F2D3D"/>
          <w:sz w:val="20"/>
          <w:szCs w:val="20"/>
        </w:rPr>
        <w:t xml:space="preserve">Wallet share trend: Month-over-month brokerage received vs estimated wallet</w:t>
      </w:r>
    </w:p>
    <w:p>
      <w:pPr>
        <w:pStyle w:val="ListParagraph"/>
        <w:numPr>
          <w:ilvl w:val="0"/>
          <w:numId w:val="2"/>
        </w:numPr>
        <w:spacing w:before="60" w:after="60"/>
      </w:pPr>
      <w:r>
        <w:rPr>
          <w:rFonts w:ascii="Arial" w:cs="Arial" w:eastAsia="Arial" w:hAnsi="Arial"/>
          <w:color w:val="1F2D3D"/>
          <w:sz w:val="20"/>
          <w:szCs w:val="20"/>
        </w:rPr>
        <w:t xml:space="preserve">Soft dollar tracking: Research payments, commission sharing agreements (CSAs)</w:t>
      </w:r>
    </w:p>
    <w:p>
      <w:pPr>
        <w:spacing w:before="60" w:after="60"/>
      </w:pPr>
      <w:r>
        <w:t xml:space="preserve"/>
      </w:r>
    </w:p>
    <w:p>
      <w:pPr>
        <w:pStyle w:val="Heading3"/>
        <w:spacing w:before="200" w:after="100"/>
      </w:pPr>
      <w:r>
        <w:rPr>
          <w:rFonts w:ascii="Arial" w:cs="Arial" w:eastAsia="Arial" w:hAnsi="Arial"/>
          <w:b/>
          <w:bCs/>
          <w:color w:val="0D6E6E"/>
          <w:sz w:val="24"/>
          <w:szCs w:val="24"/>
        </w:rPr>
        <w:t xml:space="preserve">10.2.3 Research Distribution Management</w:t>
      </w:r>
    </w:p>
    <w:p>
      <w:pPr>
        <w:pStyle w:val="ListParagraph"/>
        <w:numPr>
          <w:ilvl w:val="0"/>
          <w:numId w:val="2"/>
        </w:numPr>
        <w:spacing w:before="60" w:after="60"/>
      </w:pPr>
      <w:r>
        <w:rPr>
          <w:rFonts w:ascii="Arial" w:cs="Arial" w:eastAsia="Arial" w:hAnsi="Arial"/>
          <w:color w:val="1F2D3D"/>
          <w:sz w:val="20"/>
          <w:szCs w:val="20"/>
        </w:rPr>
        <w:t xml:space="preserve">Research entitlement setup: Which reports/sectors each client has access to</w:t>
      </w:r>
    </w:p>
    <w:p>
      <w:pPr>
        <w:pStyle w:val="ListParagraph"/>
        <w:numPr>
          <w:ilvl w:val="0"/>
          <w:numId w:val="2"/>
        </w:numPr>
        <w:spacing w:before="60" w:after="60"/>
      </w:pPr>
      <w:r>
        <w:rPr>
          <w:rFonts w:ascii="Arial" w:cs="Arial" w:eastAsia="Arial" w:hAnsi="Arial"/>
          <w:color w:val="1F2D3D"/>
          <w:sz w:val="20"/>
          <w:szCs w:val="20"/>
        </w:rPr>
        <w:t xml:space="preserve">MiFID II unbundling: Separate pricing for research and execution — RPA (Research Payment Account) management</w:t>
      </w:r>
    </w:p>
    <w:p>
      <w:pPr>
        <w:pStyle w:val="ListParagraph"/>
        <w:numPr>
          <w:ilvl w:val="0"/>
          <w:numId w:val="2"/>
        </w:numPr>
        <w:spacing w:before="60" w:after="60"/>
      </w:pPr>
      <w:r>
        <w:rPr>
          <w:rFonts w:ascii="Arial" w:cs="Arial" w:eastAsia="Arial" w:hAnsi="Arial"/>
          <w:color w:val="1F2D3D"/>
          <w:sz w:val="20"/>
          <w:szCs w:val="20"/>
        </w:rPr>
        <w:t xml:space="preserve">Distribution log: Every research report sent to which client — timestamp, delivery method</w:t>
      </w:r>
    </w:p>
    <w:p>
      <w:pPr>
        <w:pStyle w:val="ListParagraph"/>
        <w:numPr>
          <w:ilvl w:val="0"/>
          <w:numId w:val="2"/>
        </w:numPr>
        <w:spacing w:before="60" w:after="60"/>
      </w:pPr>
      <w:r>
        <w:rPr>
          <w:rFonts w:ascii="Arial" w:cs="Arial" w:eastAsia="Arial" w:hAnsi="Arial"/>
          <w:color w:val="1F2D3D"/>
          <w:sz w:val="20"/>
          <w:szCs w:val="20"/>
        </w:rPr>
        <w:t xml:space="preserve">Research opt-in/opt-out management per fund/per analyst</w:t>
      </w:r>
    </w:p>
    <w:p>
      <w:pPr>
        <w:pStyle w:val="ListParagraph"/>
        <w:numPr>
          <w:ilvl w:val="0"/>
          <w:numId w:val="2"/>
        </w:numPr>
        <w:spacing w:before="60" w:after="60"/>
      </w:pPr>
      <w:r>
        <w:rPr>
          <w:rFonts w:ascii="Arial" w:cs="Arial" w:eastAsia="Arial" w:hAnsi="Arial"/>
          <w:color w:val="1F2D3D"/>
          <w:sz w:val="20"/>
          <w:szCs w:val="20"/>
        </w:rPr>
        <w:t xml:space="preserve">Research valuation: Annual valuation statement per client per MiFID II requirements</w:t>
      </w:r>
    </w:p>
    <w:p>
      <w:pPr>
        <w:spacing w:before="60" w:after="60"/>
      </w:pPr>
      <w:r>
        <w:t xml:space="preserve"/>
      </w:r>
    </w:p>
    <w:p>
      <w:pPr>
        <w:pStyle w:val="Heading3"/>
        <w:spacing w:before="200" w:after="100"/>
      </w:pPr>
      <w:r>
        <w:rPr>
          <w:rFonts w:ascii="Arial" w:cs="Arial" w:eastAsia="Arial" w:hAnsi="Arial"/>
          <w:b/>
          <w:bCs/>
          <w:color w:val="0D6E6E"/>
          <w:sz w:val="24"/>
          <w:szCs w:val="24"/>
        </w:rPr>
        <w:t xml:space="preserve">10.2.4 Corporate Access Management</w:t>
      </w:r>
    </w:p>
    <w:p>
      <w:pPr>
        <w:pStyle w:val="ListParagraph"/>
        <w:numPr>
          <w:ilvl w:val="0"/>
          <w:numId w:val="2"/>
        </w:numPr>
        <w:spacing w:before="60" w:after="60"/>
      </w:pPr>
      <w:r>
        <w:rPr>
          <w:rFonts w:ascii="Arial" w:cs="Arial" w:eastAsia="Arial" w:hAnsi="Arial"/>
          <w:color w:val="1F2D3D"/>
          <w:sz w:val="20"/>
          <w:szCs w:val="20"/>
        </w:rPr>
        <w:t xml:space="preserve">Roadshow scheduling: Company + dates + target investors — match-making tool for salespeople</w:t>
      </w:r>
    </w:p>
    <w:p>
      <w:pPr>
        <w:pStyle w:val="ListParagraph"/>
        <w:numPr>
          <w:ilvl w:val="0"/>
          <w:numId w:val="2"/>
        </w:numPr>
        <w:spacing w:before="60" w:after="60"/>
      </w:pPr>
      <w:r>
        <w:rPr>
          <w:rFonts w:ascii="Arial" w:cs="Arial" w:eastAsia="Arial" w:hAnsi="Arial"/>
          <w:color w:val="1F2D3D"/>
          <w:sz w:val="20"/>
          <w:szCs w:val="20"/>
        </w:rPr>
        <w:t xml:space="preserve">NDR (Non-Deal Roadshow) tracker: Company, management team, investor meetings, feedback</w:t>
      </w:r>
    </w:p>
    <w:p>
      <w:pPr>
        <w:pStyle w:val="ListParagraph"/>
        <w:numPr>
          <w:ilvl w:val="0"/>
          <w:numId w:val="2"/>
        </w:numPr>
        <w:spacing w:before="60" w:after="60"/>
      </w:pPr>
      <w:r>
        <w:rPr>
          <w:rFonts w:ascii="Arial" w:cs="Arial" w:eastAsia="Arial" w:hAnsi="Arial"/>
          <w:color w:val="1F2D3D"/>
          <w:sz w:val="20"/>
          <w:szCs w:val="20"/>
        </w:rPr>
        <w:t xml:space="preserve">Investor day management: Venue booking, attendee list, logistics, follow-up</w:t>
      </w:r>
    </w:p>
    <w:p>
      <w:pPr>
        <w:pStyle w:val="ListParagraph"/>
        <w:numPr>
          <w:ilvl w:val="0"/>
          <w:numId w:val="2"/>
        </w:numPr>
        <w:spacing w:before="60" w:after="60"/>
      </w:pPr>
      <w:r>
        <w:rPr>
          <w:rFonts w:ascii="Arial" w:cs="Arial" w:eastAsia="Arial" w:hAnsi="Arial"/>
          <w:color w:val="1F2D3D"/>
          <w:sz w:val="20"/>
          <w:szCs w:val="20"/>
        </w:rPr>
        <w:t xml:space="preserve">One-on-one meeting scheduling: Analyst meets PM — calendar integration with Outlook</w:t>
      </w:r>
    </w:p>
    <w:p>
      <w:pPr>
        <w:pStyle w:val="ListParagraph"/>
        <w:numPr>
          <w:ilvl w:val="0"/>
          <w:numId w:val="2"/>
        </w:numPr>
        <w:spacing w:before="60" w:after="60"/>
      </w:pPr>
      <w:r>
        <w:rPr>
          <w:rFonts w:ascii="Arial" w:cs="Arial" w:eastAsia="Arial" w:hAnsi="Arial"/>
          <w:color w:val="1F2D3D"/>
          <w:sz w:val="20"/>
          <w:szCs w:val="20"/>
        </w:rPr>
        <w:t xml:space="preserve">Corporate access billing: Track access provided vs budget consumed per client for MiFID II</w:t>
      </w:r>
    </w:p>
    <w:p>
      <w:pPr>
        <w:spacing w:before="60" w:after="60"/>
      </w:pPr>
      <w:r>
        <w:t xml:space="preserve"/>
      </w:r>
    </w:p>
    <w:p>
      <w:pPr>
        <w:pStyle w:val="Heading3"/>
        <w:spacing w:before="200" w:after="100"/>
      </w:pPr>
      <w:r>
        <w:rPr>
          <w:rFonts w:ascii="Arial" w:cs="Arial" w:eastAsia="Arial" w:hAnsi="Arial"/>
          <w:b/>
          <w:bCs/>
          <w:color w:val="0D6E6E"/>
          <w:sz w:val="24"/>
          <w:szCs w:val="24"/>
        </w:rPr>
        <w:t xml:space="preserve">10.2.5 Order Flow &amp; Trade Attribution</w:t>
      </w:r>
    </w:p>
    <w:p>
      <w:pPr>
        <w:pStyle w:val="ListParagraph"/>
        <w:numPr>
          <w:ilvl w:val="0"/>
          <w:numId w:val="2"/>
        </w:numPr>
        <w:spacing w:before="60" w:after="60"/>
      </w:pPr>
      <w:r>
        <w:rPr>
          <w:rFonts w:ascii="Arial" w:cs="Arial" w:eastAsia="Arial" w:hAnsi="Arial"/>
          <w:color w:val="1F2D3D"/>
          <w:sz w:val="20"/>
          <w:szCs w:val="20"/>
        </w:rPr>
        <w:t xml:space="preserve">Trade data import: OMS/EMS integration to capture daily trade volumes by client</w:t>
      </w:r>
    </w:p>
    <w:p>
      <w:pPr>
        <w:pStyle w:val="ListParagraph"/>
        <w:numPr>
          <w:ilvl w:val="0"/>
          <w:numId w:val="2"/>
        </w:numPr>
        <w:spacing w:before="60" w:after="60"/>
      </w:pPr>
      <w:r>
        <w:rPr>
          <w:rFonts w:ascii="Arial" w:cs="Arial" w:eastAsia="Arial" w:hAnsi="Arial"/>
          <w:color w:val="1F2D3D"/>
          <w:sz w:val="20"/>
          <w:szCs w:val="20"/>
        </w:rPr>
        <w:t xml:space="preserve">Sales attribution: Match trade to originating sales/research coverage</w:t>
      </w:r>
    </w:p>
    <w:p>
      <w:pPr>
        <w:pStyle w:val="ListParagraph"/>
        <w:numPr>
          <w:ilvl w:val="0"/>
          <w:numId w:val="2"/>
        </w:numPr>
        <w:spacing w:before="60" w:after="60"/>
      </w:pPr>
      <w:r>
        <w:rPr>
          <w:rFonts w:ascii="Arial" w:cs="Arial" w:eastAsia="Arial" w:hAnsi="Arial"/>
          <w:color w:val="1F2D3D"/>
          <w:sz w:val="20"/>
          <w:szCs w:val="20"/>
        </w:rPr>
        <w:t xml:space="preserve">Execution quality reporting: VWAP, slippage, market impact per institutional client</w:t>
      </w:r>
    </w:p>
    <w:p>
      <w:pPr>
        <w:pStyle w:val="ListParagraph"/>
        <w:numPr>
          <w:ilvl w:val="0"/>
          <w:numId w:val="2"/>
        </w:numPr>
        <w:spacing w:before="60" w:after="60"/>
      </w:pPr>
      <w:r>
        <w:rPr>
          <w:rFonts w:ascii="Arial" w:cs="Arial" w:eastAsia="Arial" w:hAnsi="Arial"/>
          <w:color w:val="1F2D3D"/>
          <w:sz w:val="20"/>
          <w:szCs w:val="20"/>
        </w:rPr>
        <w:t xml:space="preserve">IOI (Indication of Interest) tracking: Block deal flow management</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10.3 Compliance – MiFID II / MiFIR &amp; SEBI</w:t>
      </w:r>
    </w:p>
    <w:p>
      <w:pPr>
        <w:pStyle w:val="ListParagraph"/>
        <w:numPr>
          <w:ilvl w:val="0"/>
          <w:numId w:val="2"/>
        </w:numPr>
        <w:spacing w:before="60" w:after="60"/>
      </w:pPr>
      <w:r>
        <w:rPr>
          <w:rFonts w:ascii="Arial" w:cs="Arial" w:eastAsia="Arial" w:hAnsi="Arial"/>
          <w:color w:val="1F2D3D"/>
          <w:sz w:val="20"/>
          <w:szCs w:val="20"/>
        </w:rPr>
        <w:t xml:space="preserve">Research Payment Accounts (RPA): Maintain client-specific RPA balances and annual statements</w:t>
      </w:r>
    </w:p>
    <w:p>
      <w:pPr>
        <w:pStyle w:val="ListParagraph"/>
        <w:numPr>
          <w:ilvl w:val="0"/>
          <w:numId w:val="2"/>
        </w:numPr>
        <w:spacing w:before="60" w:after="60"/>
      </w:pPr>
      <w:r>
        <w:rPr>
          <w:rFonts w:ascii="Arial" w:cs="Arial" w:eastAsia="Arial" w:hAnsi="Arial"/>
          <w:color w:val="1F2D3D"/>
          <w:sz w:val="20"/>
          <w:szCs w:val="20"/>
        </w:rPr>
        <w:t xml:space="preserve">Wall-crossing log: Shared with IB module — institutional clients brought inside prior to ECM/DCM deals</w:t>
      </w:r>
    </w:p>
    <w:p>
      <w:pPr>
        <w:pStyle w:val="ListParagraph"/>
        <w:numPr>
          <w:ilvl w:val="0"/>
          <w:numId w:val="2"/>
        </w:numPr>
        <w:spacing w:before="60" w:after="60"/>
      </w:pPr>
      <w:r>
        <w:rPr>
          <w:rFonts w:ascii="Arial" w:cs="Arial" w:eastAsia="Arial" w:hAnsi="Arial"/>
          <w:color w:val="1F2D3D"/>
          <w:sz w:val="20"/>
          <w:szCs w:val="20"/>
        </w:rPr>
        <w:t xml:space="preserve">Restricted list management: Auto-block research distribution on restricted stocks</w:t>
      </w:r>
    </w:p>
    <w:p>
      <w:pPr>
        <w:pStyle w:val="ListParagraph"/>
        <w:numPr>
          <w:ilvl w:val="0"/>
          <w:numId w:val="2"/>
        </w:numPr>
        <w:spacing w:before="60" w:after="60"/>
      </w:pPr>
      <w:r>
        <w:rPr>
          <w:rFonts w:ascii="Arial" w:cs="Arial" w:eastAsia="Arial" w:hAnsi="Arial"/>
          <w:color w:val="1F2D3D"/>
          <w:sz w:val="20"/>
          <w:szCs w:val="20"/>
        </w:rPr>
        <w:t xml:space="preserve">Conflict of interest flagging: Research coverage vs IB mandate conflicts</w:t>
      </w:r>
    </w:p>
    <w:p>
      <w:pPr>
        <w:pStyle w:val="ListParagraph"/>
        <w:numPr>
          <w:ilvl w:val="0"/>
          <w:numId w:val="2"/>
        </w:numPr>
        <w:spacing w:before="60" w:after="60"/>
      </w:pPr>
      <w:r>
        <w:rPr>
          <w:rFonts w:ascii="Arial" w:cs="Arial" w:eastAsia="Arial" w:hAnsi="Arial"/>
          <w:color w:val="1F2D3D"/>
          <w:sz w:val="20"/>
          <w:szCs w:val="20"/>
        </w:rPr>
        <w:t xml:space="preserve">Audit trail: Immutable log of all interactions, research sent, and corporate access events</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10.4 Institutional Equities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Widget</w:t>
            </w:r>
          </w:p>
        </w:tc>
        <w:tc>
          <w:tcPr>
            <w:tcW w:type="dxa" w:w="58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Metric</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Wallet Share Map</w:t>
            </w:r>
          </w:p>
        </w:tc>
        <w:tc>
          <w:tcPr>
            <w:tcW w:type="dxa" w:w="58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Institutions ranked by estimated wallet and our capture %</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Vote Rankings</w:t>
            </w:r>
          </w:p>
        </w:tc>
        <w:tc>
          <w:tcPr>
            <w:tcW w:type="dxa" w:w="58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Annual vote positions across top 50 clients</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Research Distribution</w:t>
            </w:r>
          </w:p>
        </w:tc>
        <w:tc>
          <w:tcPr>
            <w:tcW w:type="dxa" w:w="58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Reports sent MTD, opt-in/opt-out rates</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Corporate Access Activity</w:t>
            </w:r>
          </w:p>
        </w:tc>
        <w:tc>
          <w:tcPr>
            <w:tcW w:type="dxa" w:w="58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NDRs scheduled, companies hosted, meetings facilitated</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Brokerage Revenue</w:t>
            </w:r>
          </w:p>
        </w:tc>
        <w:tc>
          <w:tcPr>
            <w:tcW w:type="dxa" w:w="58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MTD revenue by salesperson, sector coverage, institution</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MiFID II Compliance</w:t>
            </w:r>
          </w:p>
        </w:tc>
        <w:tc>
          <w:tcPr>
            <w:tcW w:type="dxa" w:w="58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RPA balances, overdue statements, research valuation alerts</w:t>
            </w:r>
          </w:p>
        </w:tc>
      </w:tr>
    </w:tbl>
    <w:p>
      <w:pPr>
        <w:spacing w:before="60" w:after="60"/>
      </w:pPr>
      <w:r>
        <w:t xml:space="preserve"/>
      </w:r>
    </w:p>
    <w:p>
      <w:pPr>
        <w:pStyle w:val="Heading1"/>
        <w:pageBreakBefore/>
        <w:spacing w:before="360" w:after="180"/>
      </w:pPr>
      <w:r>
        <w:rPr>
          <w:rFonts w:ascii="Arial" w:cs="Arial" w:eastAsia="Arial" w:hAnsi="Arial"/>
          <w:b/>
          <w:bCs/>
          <w:color w:val="1B3A6B"/>
          <w:sz w:val="36"/>
          <w:szCs w:val="36"/>
        </w:rPr>
        <w:t xml:space="preserve">11. Customer Service Module</w:t>
      </w:r>
    </w:p>
    <w:p>
      <w:pPr>
        <w:pStyle w:val="Heading2"/>
        <w:pBdr>
          <w:bottom w:val="single" w:color="2E75B6" w:sz="4" w:space="4"/>
        </w:pBdr>
        <w:spacing w:before="280" w:after="140"/>
      </w:pPr>
      <w:r>
        <w:rPr>
          <w:rFonts w:ascii="Arial" w:cs="Arial" w:eastAsia="Arial" w:hAnsi="Arial"/>
          <w:b/>
          <w:bCs/>
          <w:color w:val="2E75B6"/>
          <w:sz w:val="28"/>
          <w:szCs w:val="28"/>
        </w:rPr>
        <w:t xml:space="preserve">11.1 Overview</w:t>
      </w:r>
    </w:p>
    <w:p>
      <w:pPr>
        <w:spacing w:before="80" w:after="80"/>
      </w:pPr>
      <w:r>
        <w:rPr>
          <w:rFonts w:ascii="Arial" w:cs="Arial" w:eastAsia="Arial" w:hAnsi="Arial"/>
          <w:color w:val="1F2D3D"/>
          <w:sz w:val="20"/>
          <w:szCs w:val="20"/>
        </w:rPr>
        <w:t xml:space="preserve">The Customer Service (CS) Module is a unified omni-channel platform supporting all inbound and outbound customer interactions across all business lines. Each business line has distinct CS workflows, SLA definitions, escalation hierarchies, and resolution pathways.</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11.2 CS Channels &amp;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Channel</w:t>
            </w:r>
          </w:p>
        </w:tc>
        <w:tc>
          <w:tcPr>
            <w:tcW w:type="dxa" w:w="32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Technology / Integration</w:t>
            </w:r>
          </w:p>
        </w:tc>
        <w:tc>
          <w:tcPr>
            <w:tcW w:type="dxa" w:w="41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Features</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Inbound Voice</w:t>
            </w:r>
          </w:p>
        </w:tc>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CTI + Telephony API (Exotel / NICE / Genesys)</w:t>
            </w:r>
          </w:p>
        </w:tc>
        <w:tc>
          <w:tcPr>
            <w:tcW w:type="dxa" w:w="4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Auto-screen pop, call recording, IVR routing, wrap-up codes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Outbound Dialer</w:t>
            </w:r>
          </w:p>
        </w:tc>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Predictive / Progressive Dialer</w:t>
            </w:r>
          </w:p>
        </w:tc>
        <w:tc>
          <w:tcPr>
            <w:tcW w:type="dxa" w:w="4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Campaign calls, callback scheduling, agent assignment</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Email</w:t>
            </w:r>
          </w:p>
        </w:tc>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AWS SES + IMAP Integration</w:t>
            </w:r>
          </w:p>
        </w:tc>
        <w:tc>
          <w:tcPr>
            <w:tcW w:type="dxa" w:w="4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Auto-ticket from email, template replies, SLA tracking</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Live Chat</w:t>
            </w:r>
          </w:p>
        </w:tc>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WebSocket (Node.js) + Chat Widget (React)</w:t>
            </w:r>
          </w:p>
        </w:tc>
        <w:tc>
          <w:tcPr>
            <w:tcW w:type="dxa" w:w="4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Real-time chat, co-browsing, file sharing, chat bot triage</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WhatsApp Business</w:t>
            </w:r>
          </w:p>
        </w:tc>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WhatsApp Cloud API / Twilio</w:t>
            </w:r>
          </w:p>
        </w:tc>
        <w:tc>
          <w:tcPr>
            <w:tcW w:type="dxa" w:w="4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Inbound queries, document sharing, notification sends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Client Portal</w:t>
            </w:r>
          </w:p>
        </w:tc>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Self-service React portal</w:t>
            </w:r>
          </w:p>
        </w:tc>
        <w:tc>
          <w:tcPr>
            <w:tcW w:type="dxa" w:w="4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SR submission, status tracking, document download</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SMS</w:t>
            </w:r>
          </w:p>
        </w:tc>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AWS SNS</w:t>
            </w:r>
          </w:p>
        </w:tc>
        <w:tc>
          <w:tcPr>
            <w:tcW w:type="dxa" w:w="4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Automated notifications, OTP, case status updates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Social Media</w:t>
            </w:r>
          </w:p>
        </w:tc>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Social listening integration (Sprinklr / Freshdesk)</w:t>
            </w:r>
          </w:p>
        </w:tc>
        <w:tc>
          <w:tcPr>
            <w:tcW w:type="dxa" w:w="4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Twitter/X, LinkedIn mentions → auto-create CS ticket</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Video Banking</w:t>
            </w:r>
          </w:p>
        </w:tc>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WebRTC (Node.js + React)</w:t>
            </w:r>
          </w:p>
        </w:tc>
        <w:tc>
          <w:tcPr>
            <w:tcW w:type="dxa" w:w="4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KYC video verification, CS video support for HNI</w:t>
            </w:r>
          </w:p>
        </w:tc>
      </w:tr>
    </w:tbl>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11.3 CS Workflows by Business Line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1"/>
              <w:left w:val="single" w:color="0D6E6E" w:sz="1"/>
              <w:bottom w:val="single" w:color="0D6E6E" w:sz="1"/>
              <w:right w:val="single" w:color="0D6E6E" w:sz="1"/>
            </w:tcBorders>
            <w:shd w:fill="E8F5F5" w:val="clear"/>
            <w:tcMar>
              <w:top w:type="dxa" w:w="120"/>
              <w:left w:type="dxa" w:w="200"/>
              <w:bottom w:type="dxa" w:w="120"/>
              <w:right w:type="dxa" w:w="200"/>
            </w:tcMar>
          </w:tcPr>
          <w:p>
            <w:pPr>
              <w:jc w:val="center"/>
            </w:pPr>
            <w:r>
              <w:rPr>
                <w:rFonts w:ascii="Arial" w:cs="Arial" w:eastAsia="Arial" w:hAnsi="Arial"/>
                <w:b/>
                <w:bCs/>
                <w:color w:val="0D6E6E"/>
                <w:sz w:val="22"/>
                <w:szCs w:val="22"/>
              </w:rPr>
              <w:t xml:space="preserve">11.3.1  Retail Broking – CS Workflow</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1400"/>
        <w:gridCol w:w="2360"/>
      </w:tblGrid>
      <w:tr>
        <w:trPr>
          <w:tblHeader/>
        </w:trPr>
        <w:tc>
          <w:tcPr>
            <w:tcW w:type="dxa" w:w="26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Issue Category</w:t>
            </w:r>
          </w:p>
        </w:tc>
        <w:tc>
          <w:tcPr>
            <w:tcW w:type="dxa" w:w="16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Intake Channel</w:t>
            </w:r>
          </w:p>
        </w:tc>
        <w:tc>
          <w:tcPr>
            <w:tcW w:type="dxa" w:w="14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SLA (First Response)</w:t>
            </w:r>
          </w:p>
        </w:tc>
        <w:tc>
          <w:tcPr>
            <w:tcW w:type="dxa" w:w="14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SLA (Resolution)</w:t>
            </w:r>
          </w:p>
        </w:tc>
        <w:tc>
          <w:tcPr>
            <w:tcW w:type="dxa" w:w="23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Escalation</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Account Opening Query</w:t>
            </w:r>
          </w:p>
        </w:tc>
        <w:tc>
          <w:tcPr>
            <w:tcW w:type="dxa" w:w="16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Call / Chat / Email</w:t>
            </w:r>
          </w:p>
        </w:tc>
        <w:tc>
          <w:tcPr>
            <w:tcW w:type="dxa" w:w="1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30 min</w:t>
            </w:r>
          </w:p>
        </w:tc>
        <w:tc>
          <w:tcPr>
            <w:tcW w:type="dxa" w:w="1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2 Business Days</w:t>
            </w:r>
          </w:p>
        </w:tc>
        <w:tc>
          <w:tcPr>
            <w:tcW w:type="dxa" w:w="2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Branch Manager</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Trade Dispute / Error</w:t>
            </w:r>
          </w:p>
        </w:tc>
        <w:tc>
          <w:tcPr>
            <w:tcW w:type="dxa" w:w="16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Call / Email</w:t>
            </w:r>
          </w:p>
        </w:tc>
        <w:tc>
          <w:tcPr>
            <w:tcW w:type="dxa" w:w="1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 hour</w:t>
            </w:r>
          </w:p>
        </w:tc>
        <w:tc>
          <w:tcPr>
            <w:tcW w:type="dxa" w:w="1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3 Business Days</w:t>
            </w:r>
          </w:p>
        </w:tc>
        <w:tc>
          <w:tcPr>
            <w:tcW w:type="dxa" w:w="23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Dealer Desk Head</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Fund Transfer Issue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Call / Email</w:t>
            </w:r>
          </w:p>
        </w:tc>
        <w:tc>
          <w:tcPr>
            <w:tcW w:type="dxa" w:w="1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30 min</w:t>
            </w:r>
          </w:p>
        </w:tc>
        <w:tc>
          <w:tcPr>
            <w:tcW w:type="dxa" w:w="1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 Business Day</w:t>
            </w:r>
          </w:p>
        </w:tc>
        <w:tc>
          <w:tcPr>
            <w:tcW w:type="dxa" w:w="2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Operations Head</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Platform / App Issue</w:t>
            </w:r>
          </w:p>
        </w:tc>
        <w:tc>
          <w:tcPr>
            <w:tcW w:type="dxa" w:w="16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Chat / Email</w:t>
            </w:r>
          </w:p>
        </w:tc>
        <w:tc>
          <w:tcPr>
            <w:tcW w:type="dxa" w:w="1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15 min</w:t>
            </w:r>
          </w:p>
        </w:tc>
        <w:tc>
          <w:tcPr>
            <w:tcW w:type="dxa" w:w="1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4 Hours</w:t>
            </w:r>
          </w:p>
        </w:tc>
        <w:tc>
          <w:tcPr>
            <w:tcW w:type="dxa" w:w="23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Tech Support</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DP / Holding Query</w:t>
            </w:r>
          </w:p>
        </w:tc>
        <w:tc>
          <w:tcPr>
            <w:tcW w:type="dxa" w:w="16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Call / Email</w:t>
            </w:r>
          </w:p>
        </w:tc>
        <w:tc>
          <w:tcPr>
            <w:tcW w:type="dxa" w:w="1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30 min</w:t>
            </w:r>
          </w:p>
        </w:tc>
        <w:tc>
          <w:tcPr>
            <w:tcW w:type="dxa" w:w="1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 Business Day</w:t>
            </w:r>
          </w:p>
        </w:tc>
        <w:tc>
          <w:tcPr>
            <w:tcW w:type="dxa" w:w="2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DP Operations</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Margin / F&amp;O Query</w:t>
            </w:r>
          </w:p>
        </w:tc>
        <w:tc>
          <w:tcPr>
            <w:tcW w:type="dxa" w:w="16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Call</w:t>
            </w:r>
          </w:p>
        </w:tc>
        <w:tc>
          <w:tcPr>
            <w:tcW w:type="dxa" w:w="1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15 min</w:t>
            </w:r>
          </w:p>
        </w:tc>
        <w:tc>
          <w:tcPr>
            <w:tcW w:type="dxa" w:w="1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Same Day</w:t>
            </w:r>
          </w:p>
        </w:tc>
        <w:tc>
          <w:tcPr>
            <w:tcW w:type="dxa" w:w="23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Derivatives Desk</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Complaint / SEBI Grievance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Email / Portal</w:t>
            </w:r>
          </w:p>
        </w:tc>
        <w:tc>
          <w:tcPr>
            <w:tcW w:type="dxa" w:w="1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 Hour</w:t>
            </w:r>
          </w:p>
        </w:tc>
        <w:tc>
          <w:tcPr>
            <w:tcW w:type="dxa" w:w="1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15 Business Days</w:t>
            </w:r>
          </w:p>
        </w:tc>
        <w:tc>
          <w:tcPr>
            <w:tcW w:type="dxa" w:w="2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Compliance Officer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1"/>
              <w:left w:val="single" w:color="0D6E6E" w:sz="1"/>
              <w:bottom w:val="single" w:color="0D6E6E" w:sz="1"/>
              <w:right w:val="single" w:color="0D6E6E" w:sz="1"/>
            </w:tcBorders>
            <w:shd w:fill="E8F5F5" w:val="clear"/>
            <w:tcMar>
              <w:top w:type="dxa" w:w="120"/>
              <w:left w:type="dxa" w:w="200"/>
              <w:bottom w:type="dxa" w:w="120"/>
              <w:right w:type="dxa" w:w="200"/>
            </w:tcMar>
          </w:tcPr>
          <w:p>
            <w:pPr>
              <w:jc w:val="center"/>
            </w:pPr>
            <w:r>
              <w:rPr>
                <w:rFonts w:ascii="Arial" w:cs="Arial" w:eastAsia="Arial" w:hAnsi="Arial"/>
                <w:b/>
                <w:bCs/>
                <w:color w:val="0D6E6E"/>
                <w:sz w:val="22"/>
                <w:szCs w:val="22"/>
              </w:rPr>
              <w:t xml:space="preserve">11.3.2  Investment Banking – CS Workflow</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1400"/>
        <w:gridCol w:w="2160"/>
      </w:tblGrid>
      <w:tr>
        <w:trPr>
          <w:tblHeader/>
        </w:trPr>
        <w:tc>
          <w:tcPr>
            <w:tcW w:type="dxa" w:w="26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Issue Category</w:t>
            </w:r>
          </w:p>
        </w:tc>
        <w:tc>
          <w:tcPr>
            <w:tcW w:type="dxa" w:w="18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Intake Channel</w:t>
            </w:r>
          </w:p>
        </w:tc>
        <w:tc>
          <w:tcPr>
            <w:tcW w:type="dxa" w:w="14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SLA (First Response)</w:t>
            </w:r>
          </w:p>
        </w:tc>
        <w:tc>
          <w:tcPr>
            <w:tcW w:type="dxa" w:w="14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SLA (Resolution)</w:t>
            </w:r>
          </w:p>
        </w:tc>
        <w:tc>
          <w:tcPr>
            <w:tcW w:type="dxa" w:w="21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Escalation</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Deal Status Query</w:t>
            </w:r>
          </w:p>
        </w:tc>
        <w:tc>
          <w:tcPr>
            <w:tcW w:type="dxa" w:w="18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Email / Direct Call</w:t>
            </w:r>
          </w:p>
        </w:tc>
        <w:tc>
          <w:tcPr>
            <w:tcW w:type="dxa" w:w="1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2 Hours</w:t>
            </w:r>
          </w:p>
        </w:tc>
        <w:tc>
          <w:tcPr>
            <w:tcW w:type="dxa" w:w="1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Same Day</w:t>
            </w:r>
          </w:p>
        </w:tc>
        <w:tc>
          <w:tcPr>
            <w:tcW w:type="dxa" w:w="2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Lead Banker</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Fee / Invoice Dispute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Email</w:t>
            </w:r>
          </w:p>
        </w:tc>
        <w:tc>
          <w:tcPr>
            <w:tcW w:type="dxa" w:w="1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4 Hours</w:t>
            </w:r>
          </w:p>
        </w:tc>
        <w:tc>
          <w:tcPr>
            <w:tcW w:type="dxa" w:w="1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3 Business Days</w:t>
            </w:r>
          </w:p>
        </w:tc>
        <w:tc>
          <w:tcPr>
            <w:tcW w:type="dxa" w:w="2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CFO / Finance Head</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Document Request</w:t>
            </w:r>
          </w:p>
        </w:tc>
        <w:tc>
          <w:tcPr>
            <w:tcW w:type="dxa" w:w="18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Email / Portal</w:t>
            </w:r>
          </w:p>
        </w:tc>
        <w:tc>
          <w:tcPr>
            <w:tcW w:type="dxa" w:w="1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 Hour</w:t>
            </w:r>
          </w:p>
        </w:tc>
        <w:tc>
          <w:tcPr>
            <w:tcW w:type="dxa" w:w="1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 Business Day</w:t>
            </w:r>
          </w:p>
        </w:tc>
        <w:tc>
          <w:tcPr>
            <w:tcW w:type="dxa" w:w="2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Deal Team</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Regulatory Query</w:t>
            </w:r>
          </w:p>
        </w:tc>
        <w:tc>
          <w:tcPr>
            <w:tcW w:type="dxa" w:w="18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Email</w:t>
            </w:r>
          </w:p>
        </w:tc>
        <w:tc>
          <w:tcPr>
            <w:tcW w:type="dxa" w:w="1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2 Hours</w:t>
            </w:r>
          </w:p>
        </w:tc>
        <w:tc>
          <w:tcPr>
            <w:tcW w:type="dxa" w:w="1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2 Business Days</w:t>
            </w:r>
          </w:p>
        </w:tc>
        <w:tc>
          <w:tcPr>
            <w:tcW w:type="dxa" w:w="2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Compliance Officer</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Roadshow Logistics</w:t>
            </w:r>
          </w:p>
        </w:tc>
        <w:tc>
          <w:tcPr>
            <w:tcW w:type="dxa" w:w="18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Email / Call</w:t>
            </w:r>
          </w:p>
        </w:tc>
        <w:tc>
          <w:tcPr>
            <w:tcW w:type="dxa" w:w="1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 Hour</w:t>
            </w:r>
          </w:p>
        </w:tc>
        <w:tc>
          <w:tcPr>
            <w:tcW w:type="dxa" w:w="1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Same Day</w:t>
            </w:r>
          </w:p>
        </w:tc>
        <w:tc>
          <w:tcPr>
            <w:tcW w:type="dxa" w:w="2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IB Operations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1"/>
              <w:left w:val="single" w:color="0D6E6E" w:sz="1"/>
              <w:bottom w:val="single" w:color="0D6E6E" w:sz="1"/>
              <w:right w:val="single" w:color="0D6E6E" w:sz="1"/>
            </w:tcBorders>
            <w:shd w:fill="E8F5F5" w:val="clear"/>
            <w:tcMar>
              <w:top w:type="dxa" w:w="120"/>
              <w:left w:type="dxa" w:w="200"/>
              <w:bottom w:type="dxa" w:w="120"/>
              <w:right w:type="dxa" w:w="200"/>
            </w:tcMar>
          </w:tcPr>
          <w:p>
            <w:pPr>
              <w:jc w:val="center"/>
            </w:pPr>
            <w:r>
              <w:rPr>
                <w:rFonts w:ascii="Arial" w:cs="Arial" w:eastAsia="Arial" w:hAnsi="Arial"/>
                <w:b/>
                <w:bCs/>
                <w:color w:val="0D6E6E"/>
                <w:sz w:val="22"/>
                <w:szCs w:val="22"/>
              </w:rPr>
              <w:t xml:space="preserve">11.3.3  Institutional Equities – CS Workflow</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200"/>
        <w:gridCol w:w="1400"/>
        <w:gridCol w:w="2360"/>
      </w:tblGrid>
      <w:tr>
        <w:trPr>
          <w:tblHeader/>
        </w:trPr>
        <w:tc>
          <w:tcPr>
            <w:tcW w:type="dxa" w:w="26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Issue Category</w:t>
            </w:r>
          </w:p>
        </w:tc>
        <w:tc>
          <w:tcPr>
            <w:tcW w:type="dxa" w:w="18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Intake Channel</w:t>
            </w:r>
          </w:p>
        </w:tc>
        <w:tc>
          <w:tcPr>
            <w:tcW w:type="dxa" w:w="12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SLA (First Response)</w:t>
            </w:r>
          </w:p>
        </w:tc>
        <w:tc>
          <w:tcPr>
            <w:tcW w:type="dxa" w:w="14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SLA (Resolution)</w:t>
            </w:r>
          </w:p>
        </w:tc>
        <w:tc>
          <w:tcPr>
            <w:tcW w:type="dxa" w:w="23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Escalation</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Trade Confirmation Issue</w:t>
            </w:r>
          </w:p>
        </w:tc>
        <w:tc>
          <w:tcPr>
            <w:tcW w:type="dxa" w:w="18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Bloomberg MSG / Email</w:t>
            </w:r>
          </w:p>
        </w:tc>
        <w:tc>
          <w:tcPr>
            <w:tcW w:type="dxa" w:w="1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30 Min</w:t>
            </w:r>
          </w:p>
        </w:tc>
        <w:tc>
          <w:tcPr>
            <w:tcW w:type="dxa" w:w="1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2 Hours</w:t>
            </w:r>
          </w:p>
        </w:tc>
        <w:tc>
          <w:tcPr>
            <w:tcW w:type="dxa" w:w="2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Head of Trading</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Research Access Issue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Email / Portal</w:t>
            </w:r>
          </w:p>
        </w:tc>
        <w:tc>
          <w:tcPr>
            <w:tcW w:type="dxa" w:w="1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 Hour</w:t>
            </w:r>
          </w:p>
        </w:tc>
        <w:tc>
          <w:tcPr>
            <w:tcW w:type="dxa" w:w="1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Same Day</w:t>
            </w:r>
          </w:p>
        </w:tc>
        <w:tc>
          <w:tcPr>
            <w:tcW w:type="dxa" w:w="23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Research Desk</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Corporate Access Request</w:t>
            </w:r>
          </w:p>
        </w:tc>
        <w:tc>
          <w:tcPr>
            <w:tcW w:type="dxa" w:w="18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Email</w:t>
            </w:r>
          </w:p>
        </w:tc>
        <w:tc>
          <w:tcPr>
            <w:tcW w:type="dxa" w:w="1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2 Hours</w:t>
            </w:r>
          </w:p>
        </w:tc>
        <w:tc>
          <w:tcPr>
            <w:tcW w:type="dxa" w:w="1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 Business Day</w:t>
            </w:r>
          </w:p>
        </w:tc>
        <w:tc>
          <w:tcPr>
            <w:tcW w:type="dxa" w:w="2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Sales Manager</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Commission / RPA Query</w:t>
            </w:r>
          </w:p>
        </w:tc>
        <w:tc>
          <w:tcPr>
            <w:tcW w:type="dxa" w:w="18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Email</w:t>
            </w:r>
          </w:p>
        </w:tc>
        <w:tc>
          <w:tcPr>
            <w:tcW w:type="dxa" w:w="1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2 Hours</w:t>
            </w:r>
          </w:p>
        </w:tc>
        <w:tc>
          <w:tcPr>
            <w:tcW w:type="dxa" w:w="1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2 Business Days</w:t>
            </w:r>
          </w:p>
        </w:tc>
        <w:tc>
          <w:tcPr>
            <w:tcW w:type="dxa" w:w="23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Finance / MiFID Officer</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Settlement Dispute</w:t>
            </w:r>
          </w:p>
        </w:tc>
        <w:tc>
          <w:tcPr>
            <w:tcW w:type="dxa" w:w="18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Email / Call</w:t>
            </w:r>
          </w:p>
        </w:tc>
        <w:tc>
          <w:tcPr>
            <w:tcW w:type="dxa" w:w="1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30 Min</w:t>
            </w:r>
          </w:p>
        </w:tc>
        <w:tc>
          <w:tcPr>
            <w:tcW w:type="dxa" w:w="1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 Business Day</w:t>
            </w:r>
          </w:p>
        </w:tc>
        <w:tc>
          <w:tcPr>
            <w:tcW w:type="dxa" w:w="2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Settlement Desk</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1"/>
              <w:left w:val="single" w:color="0D6E6E" w:sz="1"/>
              <w:bottom w:val="single" w:color="0D6E6E" w:sz="1"/>
              <w:right w:val="single" w:color="0D6E6E" w:sz="1"/>
            </w:tcBorders>
            <w:shd w:fill="E8F5F5" w:val="clear"/>
            <w:tcMar>
              <w:top w:type="dxa" w:w="120"/>
              <w:left w:type="dxa" w:w="200"/>
              <w:bottom w:type="dxa" w:w="120"/>
              <w:right w:type="dxa" w:w="200"/>
            </w:tcMar>
          </w:tcPr>
          <w:p>
            <w:pPr>
              <w:jc w:val="center"/>
            </w:pPr>
            <w:r>
              <w:rPr>
                <w:rFonts w:ascii="Arial" w:cs="Arial" w:eastAsia="Arial" w:hAnsi="Arial"/>
                <w:b/>
                <w:bCs/>
                <w:color w:val="0D6E6E"/>
                <w:sz w:val="22"/>
                <w:szCs w:val="22"/>
              </w:rPr>
              <w:t xml:space="preserve">11.3.4  AIF – CS Workflow</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200"/>
        <w:gridCol w:w="1400"/>
        <w:gridCol w:w="2360"/>
      </w:tblGrid>
      <w:tr>
        <w:trPr>
          <w:tblHeader/>
        </w:trPr>
        <w:tc>
          <w:tcPr>
            <w:tcW w:type="dxa" w:w="26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Issue Category</w:t>
            </w:r>
          </w:p>
        </w:tc>
        <w:tc>
          <w:tcPr>
            <w:tcW w:type="dxa" w:w="18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Intake Channel</w:t>
            </w:r>
          </w:p>
        </w:tc>
        <w:tc>
          <w:tcPr>
            <w:tcW w:type="dxa" w:w="12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SLA (First Response)</w:t>
            </w:r>
          </w:p>
        </w:tc>
        <w:tc>
          <w:tcPr>
            <w:tcW w:type="dxa" w:w="14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SLA (Resolution)</w:t>
            </w:r>
          </w:p>
        </w:tc>
        <w:tc>
          <w:tcPr>
            <w:tcW w:type="dxa" w:w="23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Escalation</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Capital Call Query</w:t>
            </w:r>
          </w:p>
        </w:tc>
        <w:tc>
          <w:tcPr>
            <w:tcW w:type="dxa" w:w="18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Email / Portal</w:t>
            </w:r>
          </w:p>
        </w:tc>
        <w:tc>
          <w:tcPr>
            <w:tcW w:type="dxa" w:w="1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2 Hours</w:t>
            </w:r>
          </w:p>
        </w:tc>
        <w:tc>
          <w:tcPr>
            <w:tcW w:type="dxa" w:w="1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Same Day</w:t>
            </w:r>
          </w:p>
        </w:tc>
        <w:tc>
          <w:tcPr>
            <w:tcW w:type="dxa" w:w="2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Fund Manager</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NAV / Statement Query</w:t>
            </w:r>
          </w:p>
        </w:tc>
        <w:tc>
          <w:tcPr>
            <w:tcW w:type="dxa" w:w="18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Email / Portal</w:t>
            </w:r>
          </w:p>
        </w:tc>
        <w:tc>
          <w:tcPr>
            <w:tcW w:type="dxa" w:w="1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2 Hours</w:t>
            </w:r>
          </w:p>
        </w:tc>
        <w:tc>
          <w:tcPr>
            <w:tcW w:type="dxa" w:w="1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 Business Day</w:t>
            </w:r>
          </w:p>
        </w:tc>
        <w:tc>
          <w:tcPr>
            <w:tcW w:type="dxa" w:w="23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Fund Accounting</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KYC / Documentation</w:t>
            </w:r>
          </w:p>
        </w:tc>
        <w:tc>
          <w:tcPr>
            <w:tcW w:type="dxa" w:w="18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Email / Portal</w:t>
            </w:r>
          </w:p>
        </w:tc>
        <w:tc>
          <w:tcPr>
            <w:tcW w:type="dxa" w:w="1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 Hour</w:t>
            </w:r>
          </w:p>
        </w:tc>
        <w:tc>
          <w:tcPr>
            <w:tcW w:type="dxa" w:w="1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2 Business Days</w:t>
            </w:r>
          </w:p>
        </w:tc>
        <w:tc>
          <w:tcPr>
            <w:tcW w:type="dxa" w:w="2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Compliance</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Distribution Query</w:t>
            </w:r>
          </w:p>
        </w:tc>
        <w:tc>
          <w:tcPr>
            <w:tcW w:type="dxa" w:w="18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Email / Portal</w:t>
            </w:r>
          </w:p>
        </w:tc>
        <w:tc>
          <w:tcPr>
            <w:tcW w:type="dxa" w:w="1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2 Hours</w:t>
            </w:r>
          </w:p>
        </w:tc>
        <w:tc>
          <w:tcPr>
            <w:tcW w:type="dxa" w:w="1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 Business Day</w:t>
            </w:r>
          </w:p>
        </w:tc>
        <w:tc>
          <w:tcPr>
            <w:tcW w:type="dxa" w:w="23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IR Manager</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Redemption Request</w:t>
            </w:r>
          </w:p>
        </w:tc>
        <w:tc>
          <w:tcPr>
            <w:tcW w:type="dxa" w:w="18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Email</w:t>
            </w:r>
          </w:p>
        </w:tc>
        <w:tc>
          <w:tcPr>
            <w:tcW w:type="dxa" w:w="1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 Hour</w:t>
            </w:r>
          </w:p>
        </w:tc>
        <w:tc>
          <w:tcPr>
            <w:tcW w:type="dxa" w:w="1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As per Fund Terms</w:t>
            </w:r>
          </w:p>
        </w:tc>
        <w:tc>
          <w:tcPr>
            <w:tcW w:type="dxa" w:w="2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Investment Committee</w:t>
            </w:r>
          </w:p>
        </w:tc>
      </w:tr>
    </w:tbl>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11.4 CS Agent Interface Features</w:t>
      </w:r>
    </w:p>
    <w:p>
      <w:pPr>
        <w:pStyle w:val="ListParagraph"/>
        <w:numPr>
          <w:ilvl w:val="0"/>
          <w:numId w:val="2"/>
        </w:numPr>
        <w:spacing w:before="60" w:after="60"/>
      </w:pPr>
      <w:r>
        <w:rPr>
          <w:rFonts w:ascii="Arial" w:cs="Arial" w:eastAsia="Arial" w:hAnsi="Arial"/>
          <w:color w:val="1F2D3D"/>
          <w:sz w:val="20"/>
          <w:szCs w:val="20"/>
        </w:rPr>
        <w:t xml:space="preserve">Unified inbox: All channels (call, email, chat, WhatsApp) in single agent view</w:t>
      </w:r>
    </w:p>
    <w:p>
      <w:pPr>
        <w:pStyle w:val="ListParagraph"/>
        <w:numPr>
          <w:ilvl w:val="0"/>
          <w:numId w:val="2"/>
        </w:numPr>
        <w:spacing w:before="60" w:after="60"/>
      </w:pPr>
      <w:r>
        <w:rPr>
          <w:rFonts w:ascii="Arial" w:cs="Arial" w:eastAsia="Arial" w:hAnsi="Arial"/>
          <w:color w:val="1F2D3D"/>
          <w:sz w:val="20"/>
          <w:szCs w:val="20"/>
        </w:rPr>
        <w:t xml:space="preserve">Client 360 panel: Instant client profile, account details, and interaction history on screen-pop</w:t>
      </w:r>
    </w:p>
    <w:p>
      <w:pPr>
        <w:pStyle w:val="ListParagraph"/>
        <w:numPr>
          <w:ilvl w:val="0"/>
          <w:numId w:val="2"/>
        </w:numPr>
        <w:spacing w:before="60" w:after="60"/>
      </w:pPr>
      <w:r>
        <w:rPr>
          <w:rFonts w:ascii="Arial" w:cs="Arial" w:eastAsia="Arial" w:hAnsi="Arial"/>
          <w:color w:val="1F2D3D"/>
          <w:sz w:val="20"/>
          <w:szCs w:val="20"/>
        </w:rPr>
        <w:t xml:space="preserve">Real-time chat with supervisor: Internal escalation without putting client on hold</w:t>
      </w:r>
    </w:p>
    <w:p>
      <w:pPr>
        <w:pStyle w:val="ListParagraph"/>
        <w:numPr>
          <w:ilvl w:val="0"/>
          <w:numId w:val="2"/>
        </w:numPr>
        <w:spacing w:before="60" w:after="60"/>
      </w:pPr>
      <w:r>
        <w:rPr>
          <w:rFonts w:ascii="Arial" w:cs="Arial" w:eastAsia="Arial" w:hAnsi="Arial"/>
          <w:color w:val="1F2D3D"/>
          <w:sz w:val="20"/>
          <w:szCs w:val="20"/>
        </w:rPr>
        <w:t xml:space="preserve">Canned responses library: Pre-approved templates by issue category and business line</w:t>
      </w:r>
    </w:p>
    <w:p>
      <w:pPr>
        <w:pStyle w:val="ListParagraph"/>
        <w:numPr>
          <w:ilvl w:val="0"/>
          <w:numId w:val="2"/>
        </w:numPr>
        <w:spacing w:before="60" w:after="60"/>
      </w:pPr>
      <w:r>
        <w:rPr>
          <w:rFonts w:ascii="Arial" w:cs="Arial" w:eastAsia="Arial" w:hAnsi="Arial"/>
          <w:color w:val="1F2D3D"/>
          <w:sz w:val="20"/>
          <w:szCs w:val="20"/>
        </w:rPr>
        <w:t xml:space="preserve">Case notes with rich text and attachment support</w:t>
      </w:r>
    </w:p>
    <w:p>
      <w:pPr>
        <w:pStyle w:val="ListParagraph"/>
        <w:numPr>
          <w:ilvl w:val="0"/>
          <w:numId w:val="2"/>
        </w:numPr>
        <w:spacing w:before="60" w:after="60"/>
      </w:pPr>
      <w:r>
        <w:rPr>
          <w:rFonts w:ascii="Arial" w:cs="Arial" w:eastAsia="Arial" w:hAnsi="Arial"/>
          <w:color w:val="1F2D3D"/>
          <w:sz w:val="20"/>
          <w:szCs w:val="20"/>
        </w:rPr>
        <w:t xml:space="preserve">Callback scheduling: Agent schedules return call with calendar slot</w:t>
      </w:r>
    </w:p>
    <w:p>
      <w:pPr>
        <w:pStyle w:val="ListParagraph"/>
        <w:numPr>
          <w:ilvl w:val="0"/>
          <w:numId w:val="2"/>
        </w:numPr>
        <w:spacing w:before="60" w:after="60"/>
      </w:pPr>
      <w:r>
        <w:rPr>
          <w:rFonts w:ascii="Arial" w:cs="Arial" w:eastAsia="Arial" w:hAnsi="Arial"/>
          <w:color w:val="1F2D3D"/>
          <w:sz w:val="20"/>
          <w:szCs w:val="20"/>
        </w:rPr>
        <w:t xml:space="preserve">Sentiment tracking: AI-based sentiment analysis on chat and email interactions</w:t>
      </w:r>
    </w:p>
    <w:p>
      <w:pPr>
        <w:pStyle w:val="ListParagraph"/>
        <w:numPr>
          <w:ilvl w:val="0"/>
          <w:numId w:val="2"/>
        </w:numPr>
        <w:spacing w:before="60" w:after="60"/>
      </w:pPr>
      <w:r>
        <w:rPr>
          <w:rFonts w:ascii="Arial" w:cs="Arial" w:eastAsia="Arial" w:hAnsi="Arial"/>
          <w:color w:val="1F2D3D"/>
          <w:sz w:val="20"/>
          <w:szCs w:val="20"/>
        </w:rPr>
        <w:t xml:space="preserve">After-call work (ACW) tracking: Wrap-up time and disposition codes</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11.5 CS Supervisor / Team Lead Features</w:t>
      </w:r>
    </w:p>
    <w:p>
      <w:pPr>
        <w:pStyle w:val="ListParagraph"/>
        <w:numPr>
          <w:ilvl w:val="0"/>
          <w:numId w:val="2"/>
        </w:numPr>
        <w:spacing w:before="60" w:after="60"/>
      </w:pPr>
      <w:r>
        <w:rPr>
          <w:rFonts w:ascii="Arial" w:cs="Arial" w:eastAsia="Arial" w:hAnsi="Arial"/>
          <w:color w:val="1F2D3D"/>
          <w:sz w:val="20"/>
          <w:szCs w:val="20"/>
        </w:rPr>
        <w:t xml:space="preserve">Real-time dashboard: Queue depth, agents online, average handle time, SLA breach alerts</w:t>
      </w:r>
    </w:p>
    <w:p>
      <w:pPr>
        <w:pStyle w:val="ListParagraph"/>
        <w:numPr>
          <w:ilvl w:val="0"/>
          <w:numId w:val="2"/>
        </w:numPr>
        <w:spacing w:before="60" w:after="60"/>
      </w:pPr>
      <w:r>
        <w:rPr>
          <w:rFonts w:ascii="Arial" w:cs="Arial" w:eastAsia="Arial" w:hAnsi="Arial"/>
          <w:color w:val="1F2D3D"/>
          <w:sz w:val="20"/>
          <w:szCs w:val="20"/>
        </w:rPr>
        <w:t xml:space="preserve">Live call monitoring: Whisper, barge-in, listen-only modes</w:t>
      </w:r>
    </w:p>
    <w:p>
      <w:pPr>
        <w:pStyle w:val="ListParagraph"/>
        <w:numPr>
          <w:ilvl w:val="0"/>
          <w:numId w:val="2"/>
        </w:numPr>
        <w:spacing w:before="60" w:after="60"/>
      </w:pPr>
      <w:r>
        <w:rPr>
          <w:rFonts w:ascii="Arial" w:cs="Arial" w:eastAsia="Arial" w:hAnsi="Arial"/>
          <w:color w:val="1F2D3D"/>
          <w:sz w:val="20"/>
          <w:szCs w:val="20"/>
        </w:rPr>
        <w:t xml:space="preserve">Workload rebalancing: Reassign queue items across agents</w:t>
      </w:r>
    </w:p>
    <w:p>
      <w:pPr>
        <w:pStyle w:val="ListParagraph"/>
        <w:numPr>
          <w:ilvl w:val="0"/>
          <w:numId w:val="2"/>
        </w:numPr>
        <w:spacing w:before="60" w:after="60"/>
      </w:pPr>
      <w:r>
        <w:rPr>
          <w:rFonts w:ascii="Arial" w:cs="Arial" w:eastAsia="Arial" w:hAnsi="Arial"/>
          <w:color w:val="1F2D3D"/>
          <w:sz w:val="20"/>
          <w:szCs w:val="20"/>
        </w:rPr>
        <w:t xml:space="preserve">Quality scorecard: Evaluate call recordings and chats with rating forms</w:t>
      </w:r>
    </w:p>
    <w:p>
      <w:pPr>
        <w:pStyle w:val="ListParagraph"/>
        <w:numPr>
          <w:ilvl w:val="0"/>
          <w:numId w:val="2"/>
        </w:numPr>
        <w:spacing w:before="60" w:after="60"/>
      </w:pPr>
      <w:r>
        <w:rPr>
          <w:rFonts w:ascii="Arial" w:cs="Arial" w:eastAsia="Arial" w:hAnsi="Arial"/>
          <w:color w:val="1F2D3D"/>
          <w:sz w:val="20"/>
          <w:szCs w:val="20"/>
        </w:rPr>
        <w:t xml:space="preserve">CSAT survey dispatch: Auto-send post-case survey (email/SMS); NPS tracking</w:t>
      </w:r>
    </w:p>
    <w:p>
      <w:pPr>
        <w:spacing w:before="60" w:after="60"/>
      </w:pPr>
      <w:r>
        <w:t xml:space="preserve"/>
      </w:r>
    </w:p>
    <w:p>
      <w:pPr>
        <w:pStyle w:val="Heading1"/>
        <w:pageBreakBefore/>
        <w:spacing w:before="360" w:after="180"/>
      </w:pPr>
      <w:r>
        <w:rPr>
          <w:rFonts w:ascii="Arial" w:cs="Arial" w:eastAsia="Arial" w:hAnsi="Arial"/>
          <w:b/>
          <w:bCs/>
          <w:color w:val="1B3A6B"/>
          <w:sz w:val="36"/>
          <w:szCs w:val="36"/>
        </w:rPr>
        <w:t xml:space="preserve">12. Service Request Management Module</w:t>
      </w:r>
    </w:p>
    <w:p>
      <w:pPr>
        <w:pStyle w:val="Heading2"/>
        <w:pBdr>
          <w:bottom w:val="single" w:color="2E75B6" w:sz="4" w:space="4"/>
        </w:pBdr>
        <w:spacing w:before="280" w:after="140"/>
      </w:pPr>
      <w:r>
        <w:rPr>
          <w:rFonts w:ascii="Arial" w:cs="Arial" w:eastAsia="Arial" w:hAnsi="Arial"/>
          <w:b/>
          <w:bCs/>
          <w:color w:val="2E75B6"/>
          <w:sz w:val="28"/>
          <w:szCs w:val="28"/>
        </w:rPr>
        <w:t xml:space="preserve">12.1 Overview</w:t>
      </w:r>
    </w:p>
    <w:p>
      <w:pPr>
        <w:spacing w:before="80" w:after="80"/>
      </w:pPr>
      <w:r>
        <w:rPr>
          <w:rFonts w:ascii="Arial" w:cs="Arial" w:eastAsia="Arial" w:hAnsi="Arial"/>
          <w:color w:val="1F2D3D"/>
          <w:sz w:val="20"/>
          <w:szCs w:val="20"/>
        </w:rPr>
        <w:t xml:space="preserve">The Service Request (SR) module is a standalone, business-line-aware ticketing system. SRs can originate from CS interactions, client portal self-service, or internal team members. Each business line has distinct SR categories, routing rules, SLA definitions, and approval workflows.</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12.2 SR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75B6" w:sz="1"/>
              <w:left w:val="single" w:color="2E75B6" w:sz="1"/>
              <w:bottom w:val="single" w:color="2E75B6" w:sz="1"/>
              <w:right w:val="single" w:color="2E75B6" w:sz="1"/>
            </w:tcBorders>
            <w:shd w:fill="1B3A6B" w:val="clear"/>
            <w:tcMar>
              <w:top w:type="dxa" w:w="100"/>
              <w:left w:type="dxa" w:w="100"/>
              <w:bottom w:type="dxa" w:w="100"/>
              <w:right w:type="dxa" w:w="100"/>
            </w:tcMar>
          </w:tcPr>
          <w:p>
            <w:pPr>
              <w:jc w:val="center"/>
            </w:pPr>
            <w:r>
              <w:rPr>
                <w:rFonts w:ascii="Arial" w:cs="Arial" w:eastAsia="Arial" w:hAnsi="Arial"/>
                <w:b/>
                <w:bCs/>
                <w:color w:val="D6E4F0"/>
                <w:sz w:val="16"/>
                <w:szCs w:val="16"/>
              </w:rPr>
              <w:t xml:space="preserve">Step 1</w:t>
            </w:r>
          </w:p>
          <w:p>
            <w:pPr>
              <w:jc w:val="center"/>
            </w:pPr>
            <w:r>
              <w:rPr>
                <w:rFonts w:ascii="Arial" w:cs="Arial" w:eastAsia="Arial" w:hAnsi="Arial"/>
                <w:b/>
                <w:bCs/>
                <w:color w:val="FFFFFF"/>
                <w:sz w:val="18"/>
                <w:szCs w:val="18"/>
              </w:rPr>
              <w:t xml:space="preserve">SR Creation</w:t>
            </w:r>
          </w:p>
        </w:tc>
        <w:tc>
          <w:tcPr>
            <w:tcW w:type="dxa" w:w="1872"/>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rFonts w:ascii="Arial" w:cs="Arial" w:eastAsia="Arial" w:hAnsi="Arial"/>
                <w:b/>
                <w:bCs/>
                <w:color w:val="D6E4F0"/>
                <w:sz w:val="16"/>
                <w:szCs w:val="16"/>
              </w:rPr>
              <w:t xml:space="preserve">Step 2</w:t>
            </w:r>
          </w:p>
          <w:p>
            <w:pPr>
              <w:jc w:val="center"/>
            </w:pPr>
            <w:r>
              <w:rPr>
                <w:rFonts w:ascii="Arial" w:cs="Arial" w:eastAsia="Arial" w:hAnsi="Arial"/>
                <w:b/>
                <w:bCs/>
                <w:color w:val="FFFFFF"/>
                <w:sz w:val="18"/>
                <w:szCs w:val="18"/>
              </w:rPr>
              <w:t xml:space="preserve">Classification</w:t>
            </w:r>
          </w:p>
        </w:tc>
        <w:tc>
          <w:tcPr>
            <w:tcW w:type="dxa" w:w="1872"/>
            <w:tcBorders>
              <w:top w:val="single" w:color="2E75B6" w:sz="1"/>
              <w:left w:val="single" w:color="2E75B6" w:sz="1"/>
              <w:bottom w:val="single" w:color="2E75B6" w:sz="1"/>
              <w:right w:val="single" w:color="2E75B6" w:sz="1"/>
            </w:tcBorders>
            <w:shd w:fill="1B3A6B" w:val="clear"/>
            <w:tcMar>
              <w:top w:type="dxa" w:w="100"/>
              <w:left w:type="dxa" w:w="100"/>
              <w:bottom w:type="dxa" w:w="100"/>
              <w:right w:type="dxa" w:w="100"/>
            </w:tcMar>
          </w:tcPr>
          <w:p>
            <w:pPr>
              <w:jc w:val="center"/>
            </w:pPr>
            <w:r>
              <w:rPr>
                <w:rFonts w:ascii="Arial" w:cs="Arial" w:eastAsia="Arial" w:hAnsi="Arial"/>
                <w:b/>
                <w:bCs/>
                <w:color w:val="D6E4F0"/>
                <w:sz w:val="16"/>
                <w:szCs w:val="16"/>
              </w:rPr>
              <w:t xml:space="preserve">Step 3</w:t>
            </w:r>
          </w:p>
          <w:p>
            <w:pPr>
              <w:jc w:val="center"/>
            </w:pPr>
            <w:r>
              <w:rPr>
                <w:rFonts w:ascii="Arial" w:cs="Arial" w:eastAsia="Arial" w:hAnsi="Arial"/>
                <w:b/>
                <w:bCs/>
                <w:color w:val="FFFFFF"/>
                <w:sz w:val="18"/>
                <w:szCs w:val="18"/>
              </w:rPr>
              <w:t xml:space="preserve">Assignment</w:t>
            </w:r>
          </w:p>
        </w:tc>
        <w:tc>
          <w:tcPr>
            <w:tcW w:type="dxa" w:w="1872"/>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tcPr>
          <w:p>
            <w:pPr>
              <w:jc w:val="center"/>
            </w:pPr>
            <w:r>
              <w:rPr>
                <w:rFonts w:ascii="Arial" w:cs="Arial" w:eastAsia="Arial" w:hAnsi="Arial"/>
                <w:b/>
                <w:bCs/>
                <w:color w:val="D6E4F0"/>
                <w:sz w:val="16"/>
                <w:szCs w:val="16"/>
              </w:rPr>
              <w:t xml:space="preserve">Step 4</w:t>
            </w:r>
          </w:p>
          <w:p>
            <w:pPr>
              <w:jc w:val="center"/>
            </w:pPr>
            <w:r>
              <w:rPr>
                <w:rFonts w:ascii="Arial" w:cs="Arial" w:eastAsia="Arial" w:hAnsi="Arial"/>
                <w:b/>
                <w:bCs/>
                <w:color w:val="FFFFFF"/>
                <w:sz w:val="18"/>
                <w:szCs w:val="18"/>
              </w:rPr>
              <w:t xml:space="preserve">Resolution</w:t>
            </w:r>
          </w:p>
        </w:tc>
        <w:tc>
          <w:tcPr>
            <w:tcW w:type="dxa" w:w="1872"/>
            <w:tcBorders>
              <w:top w:val="single" w:color="2E75B6" w:sz="1"/>
              <w:left w:val="single" w:color="2E75B6" w:sz="1"/>
              <w:bottom w:val="single" w:color="2E75B6" w:sz="1"/>
              <w:right w:val="single" w:color="2E75B6" w:sz="1"/>
            </w:tcBorders>
            <w:shd w:fill="1B3A6B" w:val="clear"/>
            <w:tcMar>
              <w:top w:type="dxa" w:w="100"/>
              <w:left w:type="dxa" w:w="100"/>
              <w:bottom w:type="dxa" w:w="100"/>
              <w:right w:type="dxa" w:w="100"/>
            </w:tcMar>
          </w:tcPr>
          <w:p>
            <w:pPr>
              <w:jc w:val="center"/>
            </w:pPr>
            <w:r>
              <w:rPr>
                <w:rFonts w:ascii="Arial" w:cs="Arial" w:eastAsia="Arial" w:hAnsi="Arial"/>
                <w:b/>
                <w:bCs/>
                <w:color w:val="D6E4F0"/>
                <w:sz w:val="16"/>
                <w:szCs w:val="16"/>
              </w:rPr>
              <w:t xml:space="preserve">Step 5</w:t>
            </w:r>
          </w:p>
          <w:p>
            <w:pPr>
              <w:jc w:val="center"/>
            </w:pPr>
            <w:r>
              <w:rPr>
                <w:rFonts w:ascii="Arial" w:cs="Arial" w:eastAsia="Arial" w:hAnsi="Arial"/>
                <w:b/>
                <w:bCs/>
                <w:color w:val="FFFFFF"/>
                <w:sz w:val="18"/>
                <w:szCs w:val="18"/>
              </w:rPr>
              <w:t xml:space="preserve">Closure</w:t>
            </w:r>
          </w:p>
        </w:tc>
      </w:tr>
      <w:tr>
        <w:tc>
          <w:tcPr>
            <w:tcW w:type="dxa" w:w="1872"/>
            <w:tcBorders>
              <w:top w:val="single" w:color="D9D9D9" w:sz="1"/>
              <w:left w:val="single" w:color="D9D9D9" w:sz="1"/>
              <w:bottom w:val="single" w:color="D9D9D9" w:sz="1"/>
              <w:right w:val="single" w:color="D9D9D9" w:sz="1"/>
            </w:tcBorders>
            <w:shd w:fill="FFFFFF" w:val="clear"/>
            <w:tcMar>
              <w:top w:type="dxa" w:w="100"/>
              <w:left w:type="dxa" w:w="100"/>
              <w:bottom w:type="dxa" w:w="100"/>
              <w:right w:type="dxa" w:w="100"/>
            </w:tcMar>
          </w:tcPr>
          <w:p>
            <w:r>
              <w:rPr>
                <w:rFonts w:ascii="Arial" w:cs="Arial" w:eastAsia="Arial" w:hAnsi="Arial"/>
                <w:color w:val="1F2D3D"/>
                <w:sz w:val="16"/>
                <w:szCs w:val="16"/>
              </w:rPr>
              <w:t xml:space="preserve">• CS Agent</w:t>
            </w:r>
          </w:p>
          <w:p>
            <w:r>
              <w:rPr>
                <w:rFonts w:ascii="Arial" w:cs="Arial" w:eastAsia="Arial" w:hAnsi="Arial"/>
                <w:color w:val="1F2D3D"/>
                <w:sz w:val="16"/>
                <w:szCs w:val="16"/>
              </w:rPr>
              <w:t xml:space="preserve">• Client Portal</w:t>
            </w:r>
          </w:p>
          <w:p>
            <w:r>
              <w:rPr>
                <w:rFonts w:ascii="Arial" w:cs="Arial" w:eastAsia="Arial" w:hAnsi="Arial"/>
                <w:color w:val="1F2D3D"/>
                <w:sz w:val="16"/>
                <w:szCs w:val="16"/>
              </w:rPr>
              <w:t xml:space="preserve">• Email-to-ticket</w:t>
            </w:r>
          </w:p>
          <w:p>
            <w:r>
              <w:rPr>
                <w:rFonts w:ascii="Arial" w:cs="Arial" w:eastAsia="Arial" w:hAnsi="Arial"/>
                <w:color w:val="1F2D3D"/>
                <w:sz w:val="16"/>
                <w:szCs w:val="16"/>
              </w:rPr>
              <w:t xml:space="preserve">• Internal Team</w:t>
            </w:r>
          </w:p>
          <w:p>
            <w:r>
              <w:rPr>
                <w:rFonts w:ascii="Arial" w:cs="Arial" w:eastAsia="Arial" w:hAnsi="Arial"/>
                <w:color w:val="1F2D3D"/>
                <w:sz w:val="16"/>
                <w:szCs w:val="16"/>
              </w:rPr>
              <w:t xml:space="preserve">• API Integration</w:t>
            </w:r>
          </w:p>
        </w:tc>
        <w:tc>
          <w:tcPr>
            <w:tcW w:type="dxa" w:w="1872"/>
            <w:tcBorders>
              <w:top w:val="single" w:color="D9D9D9" w:sz="1"/>
              <w:left w:val="single" w:color="D9D9D9" w:sz="1"/>
              <w:bottom w:val="single" w:color="D9D9D9" w:sz="1"/>
              <w:right w:val="single" w:color="D9D9D9" w:sz="1"/>
            </w:tcBorders>
            <w:shd w:fill="F2F2F2" w:val="clear"/>
            <w:tcMar>
              <w:top w:type="dxa" w:w="100"/>
              <w:left w:type="dxa" w:w="100"/>
              <w:bottom w:type="dxa" w:w="100"/>
              <w:right w:type="dxa" w:w="100"/>
            </w:tcMar>
          </w:tcPr>
          <w:p>
            <w:r>
              <w:rPr>
                <w:rFonts w:ascii="Arial" w:cs="Arial" w:eastAsia="Arial" w:hAnsi="Arial"/>
                <w:color w:val="1F2D3D"/>
                <w:sz w:val="16"/>
                <w:szCs w:val="16"/>
              </w:rPr>
              <w:t xml:space="preserve">• Business Line</w:t>
            </w:r>
          </w:p>
          <w:p>
            <w:r>
              <w:rPr>
                <w:rFonts w:ascii="Arial" w:cs="Arial" w:eastAsia="Arial" w:hAnsi="Arial"/>
                <w:color w:val="1F2D3D"/>
                <w:sz w:val="16"/>
                <w:szCs w:val="16"/>
              </w:rPr>
              <w:t xml:space="preserve">• Category</w:t>
            </w:r>
          </w:p>
          <w:p>
            <w:r>
              <w:rPr>
                <w:rFonts w:ascii="Arial" w:cs="Arial" w:eastAsia="Arial" w:hAnsi="Arial"/>
                <w:color w:val="1F2D3D"/>
                <w:sz w:val="16"/>
                <w:szCs w:val="16"/>
              </w:rPr>
              <w:t xml:space="preserve">• Sub-category</w:t>
            </w:r>
          </w:p>
          <w:p>
            <w:r>
              <w:rPr>
                <w:rFonts w:ascii="Arial" w:cs="Arial" w:eastAsia="Arial" w:hAnsi="Arial"/>
                <w:color w:val="1F2D3D"/>
                <w:sz w:val="16"/>
                <w:szCs w:val="16"/>
              </w:rPr>
              <w:t xml:space="preserve">• Priority</w:t>
            </w:r>
          </w:p>
          <w:p>
            <w:r>
              <w:rPr>
                <w:rFonts w:ascii="Arial" w:cs="Arial" w:eastAsia="Arial" w:hAnsi="Arial"/>
                <w:color w:val="1F2D3D"/>
                <w:sz w:val="16"/>
                <w:szCs w:val="16"/>
              </w:rPr>
              <w:t xml:space="preserve">• SLA assignment</w:t>
            </w:r>
          </w:p>
        </w:tc>
        <w:tc>
          <w:tcPr>
            <w:tcW w:type="dxa" w:w="1872"/>
            <w:tcBorders>
              <w:top w:val="single" w:color="D9D9D9" w:sz="1"/>
              <w:left w:val="single" w:color="D9D9D9" w:sz="1"/>
              <w:bottom w:val="single" w:color="D9D9D9" w:sz="1"/>
              <w:right w:val="single" w:color="D9D9D9" w:sz="1"/>
            </w:tcBorders>
            <w:shd w:fill="FFFFFF" w:val="clear"/>
            <w:tcMar>
              <w:top w:type="dxa" w:w="100"/>
              <w:left w:type="dxa" w:w="100"/>
              <w:bottom w:type="dxa" w:w="100"/>
              <w:right w:type="dxa" w:w="100"/>
            </w:tcMar>
          </w:tcPr>
          <w:p>
            <w:r>
              <w:rPr>
                <w:rFonts w:ascii="Arial" w:cs="Arial" w:eastAsia="Arial" w:hAnsi="Arial"/>
                <w:color w:val="1F2D3D"/>
                <w:sz w:val="16"/>
                <w:szCs w:val="16"/>
              </w:rPr>
              <w:t xml:space="preserve">• Auto-routing rules</w:t>
            </w:r>
          </w:p>
          <w:p>
            <w:r>
              <w:rPr>
                <w:rFonts w:ascii="Arial" w:cs="Arial" w:eastAsia="Arial" w:hAnsi="Arial"/>
                <w:color w:val="1F2D3D"/>
                <w:sz w:val="16"/>
                <w:szCs w:val="16"/>
              </w:rPr>
              <w:t xml:space="preserve">• Skill-based routing</w:t>
            </w:r>
          </w:p>
          <w:p>
            <w:r>
              <w:rPr>
                <w:rFonts w:ascii="Arial" w:cs="Arial" w:eastAsia="Arial" w:hAnsi="Arial"/>
                <w:color w:val="1F2D3D"/>
                <w:sz w:val="16"/>
                <w:szCs w:val="16"/>
              </w:rPr>
              <w:t xml:space="preserve">• Round-robin</w:t>
            </w:r>
          </w:p>
          <w:p>
            <w:r>
              <w:rPr>
                <w:rFonts w:ascii="Arial" w:cs="Arial" w:eastAsia="Arial" w:hAnsi="Arial"/>
                <w:color w:val="1F2D3D"/>
                <w:sz w:val="16"/>
                <w:szCs w:val="16"/>
              </w:rPr>
              <w:t xml:space="preserve">• Escalation queue</w:t>
            </w:r>
          </w:p>
        </w:tc>
        <w:tc>
          <w:tcPr>
            <w:tcW w:type="dxa" w:w="1872"/>
            <w:tcBorders>
              <w:top w:val="single" w:color="D9D9D9" w:sz="1"/>
              <w:left w:val="single" w:color="D9D9D9" w:sz="1"/>
              <w:bottom w:val="single" w:color="D9D9D9" w:sz="1"/>
              <w:right w:val="single" w:color="D9D9D9" w:sz="1"/>
            </w:tcBorders>
            <w:shd w:fill="F2F2F2" w:val="clear"/>
            <w:tcMar>
              <w:top w:type="dxa" w:w="100"/>
              <w:left w:type="dxa" w:w="100"/>
              <w:bottom w:type="dxa" w:w="100"/>
              <w:right w:type="dxa" w:w="100"/>
            </w:tcMar>
          </w:tcPr>
          <w:p>
            <w:r>
              <w:rPr>
                <w:rFonts w:ascii="Arial" w:cs="Arial" w:eastAsia="Arial" w:hAnsi="Arial"/>
                <w:color w:val="1F2D3D"/>
                <w:sz w:val="16"/>
                <w:szCs w:val="16"/>
              </w:rPr>
              <w:t xml:space="preserve">• Work notes</w:t>
            </w:r>
          </w:p>
          <w:p>
            <w:r>
              <w:rPr>
                <w:rFonts w:ascii="Arial" w:cs="Arial" w:eastAsia="Arial" w:hAnsi="Arial"/>
                <w:color w:val="1F2D3D"/>
                <w:sz w:val="16"/>
                <w:szCs w:val="16"/>
              </w:rPr>
              <w:t xml:space="preserve">• Attachments</w:t>
            </w:r>
          </w:p>
          <w:p>
            <w:r>
              <w:rPr>
                <w:rFonts w:ascii="Arial" w:cs="Arial" w:eastAsia="Arial" w:hAnsi="Arial"/>
                <w:color w:val="1F2D3D"/>
                <w:sz w:val="16"/>
                <w:szCs w:val="16"/>
              </w:rPr>
              <w:t xml:space="preserve">• Approvals</w:t>
            </w:r>
          </w:p>
          <w:p>
            <w:r>
              <w:rPr>
                <w:rFonts w:ascii="Arial" w:cs="Arial" w:eastAsia="Arial" w:hAnsi="Arial"/>
                <w:color w:val="1F2D3D"/>
                <w:sz w:val="16"/>
                <w:szCs w:val="16"/>
              </w:rPr>
              <w:t xml:space="preserve">• Back-office action</w:t>
            </w:r>
          </w:p>
          <w:p>
            <w:r>
              <w:rPr>
                <w:rFonts w:ascii="Arial" w:cs="Arial" w:eastAsia="Arial" w:hAnsi="Arial"/>
                <w:color w:val="1F2D3D"/>
                <w:sz w:val="16"/>
                <w:szCs w:val="16"/>
              </w:rPr>
              <w:t xml:space="preserve">• Client update</w:t>
            </w:r>
          </w:p>
        </w:tc>
        <w:tc>
          <w:tcPr>
            <w:tcW w:type="dxa" w:w="1872"/>
            <w:tcBorders>
              <w:top w:val="single" w:color="D9D9D9" w:sz="1"/>
              <w:left w:val="single" w:color="D9D9D9" w:sz="1"/>
              <w:bottom w:val="single" w:color="D9D9D9" w:sz="1"/>
              <w:right w:val="single" w:color="D9D9D9" w:sz="1"/>
            </w:tcBorders>
            <w:shd w:fill="FFFFFF" w:val="clear"/>
            <w:tcMar>
              <w:top w:type="dxa" w:w="100"/>
              <w:left w:type="dxa" w:w="100"/>
              <w:bottom w:type="dxa" w:w="100"/>
              <w:right w:type="dxa" w:w="100"/>
            </w:tcMar>
          </w:tcPr>
          <w:p>
            <w:r>
              <w:rPr>
                <w:rFonts w:ascii="Arial" w:cs="Arial" w:eastAsia="Arial" w:hAnsi="Arial"/>
                <w:color w:val="1F2D3D"/>
                <w:sz w:val="16"/>
                <w:szCs w:val="16"/>
              </w:rPr>
              <w:t xml:space="preserve">• Client confirmation</w:t>
            </w:r>
          </w:p>
          <w:p>
            <w:r>
              <w:rPr>
                <w:rFonts w:ascii="Arial" w:cs="Arial" w:eastAsia="Arial" w:hAnsi="Arial"/>
                <w:color w:val="1F2D3D"/>
                <w:sz w:val="16"/>
                <w:szCs w:val="16"/>
              </w:rPr>
              <w:t xml:space="preserve">• CSAT survey</w:t>
            </w:r>
          </w:p>
          <w:p>
            <w:r>
              <w:rPr>
                <w:rFonts w:ascii="Arial" w:cs="Arial" w:eastAsia="Arial" w:hAnsi="Arial"/>
                <w:color w:val="1F2D3D"/>
                <w:sz w:val="16"/>
                <w:szCs w:val="16"/>
              </w:rPr>
              <w:t xml:space="preserve">• KB article</w:t>
            </w:r>
          </w:p>
          <w:p>
            <w:r>
              <w:rPr>
                <w:rFonts w:ascii="Arial" w:cs="Arial" w:eastAsia="Arial" w:hAnsi="Arial"/>
                <w:color w:val="1F2D3D"/>
                <w:sz w:val="16"/>
                <w:szCs w:val="16"/>
              </w:rPr>
              <w:t xml:space="preserve">• Root cause log</w:t>
            </w:r>
          </w:p>
          <w:p>
            <w:r>
              <w:rPr>
                <w:rFonts w:ascii="Arial" w:cs="Arial" w:eastAsia="Arial" w:hAnsi="Arial"/>
                <w:color w:val="1F2D3D"/>
                <w:sz w:val="16"/>
                <w:szCs w:val="16"/>
              </w:rPr>
              <w:t xml:space="preserve">• Archive</w:t>
            </w:r>
          </w:p>
        </w:tc>
      </w:tr>
    </w:tbl>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12.3 SR Categories by Business Line</w:t>
      </w:r>
    </w:p>
    <w:p>
      <w:pPr>
        <w:spacing w:before="60" w:after="60"/>
      </w:pPr>
      <w:r>
        <w:t xml:space="preserve"/>
      </w:r>
    </w:p>
    <w:p>
      <w:pPr>
        <w:pStyle w:val="Heading3"/>
        <w:spacing w:before="200" w:after="100"/>
      </w:pPr>
      <w:r>
        <w:rPr>
          <w:rFonts w:ascii="Arial" w:cs="Arial" w:eastAsia="Arial" w:hAnsi="Arial"/>
          <w:b/>
          <w:bCs/>
          <w:color w:val="0D6E6E"/>
          <w:sz w:val="24"/>
          <w:szCs w:val="24"/>
        </w:rPr>
        <w:t xml:space="preserve">12.3.1 Retail Broking – SR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rPr>
          <w:tblHeader/>
        </w:trPr>
        <w:tc>
          <w:tcPr>
            <w:tcW w:type="dxa" w:w="22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Category</w:t>
            </w:r>
          </w:p>
        </w:tc>
        <w:tc>
          <w:tcPr>
            <w:tcW w:type="dxa" w:w="32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Sub-Category</w:t>
            </w:r>
          </w:p>
        </w:tc>
        <w:tc>
          <w:tcPr>
            <w:tcW w:type="dxa" w:w="20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Auto-Route To</w:t>
            </w:r>
          </w:p>
        </w:tc>
        <w:tc>
          <w:tcPr>
            <w:tcW w:type="dxa" w:w="19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SLA</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Account Services</w:t>
            </w:r>
          </w:p>
        </w:tc>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Account modification, Nomination change, Bank change</w:t>
            </w:r>
          </w:p>
        </w:tc>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DP Operations</w:t>
            </w:r>
          </w:p>
        </w:tc>
        <w:tc>
          <w:tcPr>
            <w:tcW w:type="dxa" w:w="19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2 BD</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Trade Services</w:t>
            </w:r>
          </w:p>
        </w:tc>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Trade modification, STT refund, Error trade</w:t>
            </w:r>
          </w:p>
        </w:tc>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Dealing Desk</w:t>
            </w:r>
          </w:p>
        </w:tc>
        <w:tc>
          <w:tcPr>
            <w:tcW w:type="dxa" w:w="19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 BD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Financial</w:t>
            </w:r>
          </w:p>
        </w:tc>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Fund transfer, Payout, Pledge/Unpledge</w:t>
            </w:r>
          </w:p>
        </w:tc>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Finance Ops</w:t>
            </w:r>
          </w:p>
        </w:tc>
        <w:tc>
          <w:tcPr>
            <w:tcW w:type="dxa" w:w="19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 BD</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Regulatory</w:t>
            </w:r>
          </w:p>
        </w:tc>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SEBI grievance, SCORES complaint, Arbitration</w:t>
            </w:r>
          </w:p>
        </w:tc>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Compliance</w:t>
            </w:r>
          </w:p>
        </w:tc>
        <w:tc>
          <w:tcPr>
            <w:tcW w:type="dxa" w:w="19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15 BD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Technology</w:t>
            </w:r>
          </w:p>
        </w:tc>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App issue, Login problem, Slow platform</w:t>
            </w:r>
          </w:p>
        </w:tc>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IT Support</w:t>
            </w:r>
          </w:p>
        </w:tc>
        <w:tc>
          <w:tcPr>
            <w:tcW w:type="dxa" w:w="19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4 Hours</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Advisory</w:t>
            </w:r>
          </w:p>
        </w:tc>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Research query, Stock recommendation</w:t>
            </w:r>
          </w:p>
        </w:tc>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Advisory Desk</w:t>
            </w:r>
          </w:p>
        </w:tc>
        <w:tc>
          <w:tcPr>
            <w:tcW w:type="dxa" w:w="19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4 Hours</w:t>
            </w:r>
          </w:p>
        </w:tc>
      </w:tr>
    </w:tbl>
    <w:p>
      <w:pPr>
        <w:spacing w:before="60" w:after="60"/>
      </w:pPr>
      <w:r>
        <w:t xml:space="preserve"/>
      </w:r>
    </w:p>
    <w:p>
      <w:pPr>
        <w:pStyle w:val="Heading3"/>
        <w:spacing w:before="200" w:after="100"/>
      </w:pPr>
      <w:r>
        <w:rPr>
          <w:rFonts w:ascii="Arial" w:cs="Arial" w:eastAsia="Arial" w:hAnsi="Arial"/>
          <w:b/>
          <w:bCs/>
          <w:color w:val="0D6E6E"/>
          <w:sz w:val="24"/>
          <w:szCs w:val="24"/>
        </w:rPr>
        <w:t xml:space="preserve">12.3.2 Investment Banking – SR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rPr>
          <w:tblHeader/>
        </w:trPr>
        <w:tc>
          <w:tcPr>
            <w:tcW w:type="dxa" w:w="22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Category</w:t>
            </w:r>
          </w:p>
        </w:tc>
        <w:tc>
          <w:tcPr>
            <w:tcW w:type="dxa" w:w="32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Sub-Category</w:t>
            </w:r>
          </w:p>
        </w:tc>
        <w:tc>
          <w:tcPr>
            <w:tcW w:type="dxa" w:w="20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Auto-Route To</w:t>
            </w:r>
          </w:p>
        </w:tc>
        <w:tc>
          <w:tcPr>
            <w:tcW w:type="dxa" w:w="19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SLA</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Deal Documentation</w:t>
            </w:r>
          </w:p>
        </w:tc>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Draft review, Signing coordination, Filing</w:t>
            </w:r>
          </w:p>
        </w:tc>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Deal Team / Legal</w:t>
            </w:r>
          </w:p>
        </w:tc>
        <w:tc>
          <w:tcPr>
            <w:tcW w:type="dxa" w:w="19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 BD</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Fee &amp; Billing</w:t>
            </w:r>
          </w:p>
        </w:tc>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Invoice query, Fee revision, Tax document</w:t>
            </w:r>
          </w:p>
        </w:tc>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IB Finance</w:t>
            </w:r>
          </w:p>
        </w:tc>
        <w:tc>
          <w:tcPr>
            <w:tcW w:type="dxa" w:w="19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2 BD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Regulatory</w:t>
            </w:r>
          </w:p>
        </w:tc>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SEBI query, DRHP comment response, ROC</w:t>
            </w:r>
          </w:p>
        </w:tc>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Compliance / Legal</w:t>
            </w:r>
          </w:p>
        </w:tc>
        <w:tc>
          <w:tcPr>
            <w:tcW w:type="dxa" w:w="19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3 BD</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Roadshow</w:t>
            </w:r>
          </w:p>
        </w:tc>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Investor meeting setup, Logistics, Presentation</w:t>
            </w:r>
          </w:p>
        </w:tc>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IB Operations</w:t>
            </w:r>
          </w:p>
        </w:tc>
        <w:tc>
          <w:tcPr>
            <w:tcW w:type="dxa" w:w="19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Same Day</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Research</w:t>
            </w:r>
          </w:p>
        </w:tc>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Initiation request, Report access, Analyst connect</w:t>
            </w:r>
          </w:p>
        </w:tc>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Research Desk</w:t>
            </w:r>
          </w:p>
        </w:tc>
        <w:tc>
          <w:tcPr>
            <w:tcW w:type="dxa" w:w="19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 BD</w:t>
            </w:r>
          </w:p>
        </w:tc>
      </w:tr>
    </w:tbl>
    <w:p>
      <w:pPr>
        <w:spacing w:before="60" w:after="60"/>
      </w:pPr>
      <w:r>
        <w:t xml:space="preserve"/>
      </w:r>
    </w:p>
    <w:p>
      <w:pPr>
        <w:pStyle w:val="Heading3"/>
        <w:spacing w:before="200" w:after="100"/>
      </w:pPr>
      <w:r>
        <w:rPr>
          <w:rFonts w:ascii="Arial" w:cs="Arial" w:eastAsia="Arial" w:hAnsi="Arial"/>
          <w:b/>
          <w:bCs/>
          <w:color w:val="0D6E6E"/>
          <w:sz w:val="24"/>
          <w:szCs w:val="24"/>
        </w:rPr>
        <w:t xml:space="preserve">12.3.3 Institutional Equities – SR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rPr>
          <w:tblHeader/>
        </w:trPr>
        <w:tc>
          <w:tcPr>
            <w:tcW w:type="dxa" w:w="22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Category</w:t>
            </w:r>
          </w:p>
        </w:tc>
        <w:tc>
          <w:tcPr>
            <w:tcW w:type="dxa" w:w="32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Sub-Category</w:t>
            </w:r>
          </w:p>
        </w:tc>
        <w:tc>
          <w:tcPr>
            <w:tcW w:type="dxa" w:w="20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Auto-Route To</w:t>
            </w:r>
          </w:p>
        </w:tc>
        <w:tc>
          <w:tcPr>
            <w:tcW w:type="dxa" w:w="19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SLA</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Trade &amp; Settlement</w:t>
            </w:r>
          </w:p>
        </w:tc>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Confirmation, Failed trade, FX settlement</w:t>
            </w:r>
          </w:p>
        </w:tc>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Institutional Trading</w:t>
            </w:r>
          </w:p>
        </w:tc>
        <w:tc>
          <w:tcPr>
            <w:tcW w:type="dxa" w:w="19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2 Hours</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Research</w:t>
            </w:r>
          </w:p>
        </w:tc>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Report access, Entitlement change, RPA statement</w:t>
            </w:r>
          </w:p>
        </w:tc>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Research / MiFID Team</w:t>
            </w:r>
          </w:p>
        </w:tc>
        <w:tc>
          <w:tcPr>
            <w:tcW w:type="dxa" w:w="19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 BD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Corporate Access</w:t>
            </w:r>
          </w:p>
        </w:tc>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Meeting request, NDR invite, Investor day</w:t>
            </w:r>
          </w:p>
        </w:tc>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Sales / Corporate Access</w:t>
            </w:r>
          </w:p>
        </w:tc>
        <w:tc>
          <w:tcPr>
            <w:tcW w:type="dxa" w:w="19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 BD</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Commission</w:t>
            </w:r>
          </w:p>
        </w:tc>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RPA balance, CSA query, Commission dispute</w:t>
            </w:r>
          </w:p>
        </w:tc>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Finance / MiFID Officer</w:t>
            </w:r>
          </w:p>
        </w:tc>
        <w:tc>
          <w:tcPr>
            <w:tcW w:type="dxa" w:w="19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2 BD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Empanelment</w:t>
            </w:r>
          </w:p>
        </w:tc>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New fund onboarding, ISDA amendment, KYC refresh</w:t>
            </w:r>
          </w:p>
        </w:tc>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Onboarding Team</w:t>
            </w:r>
          </w:p>
        </w:tc>
        <w:tc>
          <w:tcPr>
            <w:tcW w:type="dxa" w:w="19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3 BD</w:t>
            </w:r>
          </w:p>
        </w:tc>
      </w:tr>
    </w:tbl>
    <w:p>
      <w:pPr>
        <w:spacing w:before="60" w:after="60"/>
      </w:pPr>
      <w:r>
        <w:t xml:space="preserve"/>
      </w:r>
    </w:p>
    <w:p>
      <w:pPr>
        <w:pStyle w:val="Heading3"/>
        <w:spacing w:before="200" w:after="100"/>
      </w:pPr>
      <w:r>
        <w:rPr>
          <w:rFonts w:ascii="Arial" w:cs="Arial" w:eastAsia="Arial" w:hAnsi="Arial"/>
          <w:b/>
          <w:bCs/>
          <w:color w:val="0D6E6E"/>
          <w:sz w:val="24"/>
          <w:szCs w:val="24"/>
        </w:rPr>
        <w:t xml:space="preserve">12.3.4 AIF – SR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rPr>
          <w:tblHeader/>
        </w:trPr>
        <w:tc>
          <w:tcPr>
            <w:tcW w:type="dxa" w:w="22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Category</w:t>
            </w:r>
          </w:p>
        </w:tc>
        <w:tc>
          <w:tcPr>
            <w:tcW w:type="dxa" w:w="32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Sub-Category</w:t>
            </w:r>
          </w:p>
        </w:tc>
        <w:tc>
          <w:tcPr>
            <w:tcW w:type="dxa" w:w="20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Auto-Route To</w:t>
            </w:r>
          </w:p>
        </w:tc>
        <w:tc>
          <w:tcPr>
            <w:tcW w:type="dxa" w:w="19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SLA</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Capital &amp; Drawdown</w:t>
            </w:r>
          </w:p>
        </w:tc>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Capital call query, Wire confirmation, Late payment</w:t>
            </w:r>
          </w:p>
        </w:tc>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Fund Operations</w:t>
            </w:r>
          </w:p>
        </w:tc>
        <w:tc>
          <w:tcPr>
            <w:tcW w:type="dxa" w:w="19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Same Day</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Statements</w:t>
            </w:r>
          </w:p>
        </w:tc>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NAV report, Portfolio statement, Tax certificate</w:t>
            </w:r>
          </w:p>
        </w:tc>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Fund Accounting</w:t>
            </w:r>
          </w:p>
        </w:tc>
        <w:tc>
          <w:tcPr>
            <w:tcW w:type="dxa" w:w="19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 BD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KYC &amp; Compliance</w:t>
            </w:r>
          </w:p>
        </w:tc>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KYC refresh, FATCA update, UBO change</w:t>
            </w:r>
          </w:p>
        </w:tc>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Compliance</w:t>
            </w:r>
          </w:p>
        </w:tc>
        <w:tc>
          <w:tcPr>
            <w:tcW w:type="dxa" w:w="19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2 BD</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Distributions</w:t>
            </w:r>
          </w:p>
        </w:tc>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Distribution query, Bank detail update, TDS cert.</w:t>
            </w:r>
          </w:p>
        </w:tc>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Fund Accounting</w:t>
            </w:r>
          </w:p>
        </w:tc>
        <w:tc>
          <w:tcPr>
            <w:tcW w:type="dxa" w:w="19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 BD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Redemption</w:t>
            </w:r>
          </w:p>
        </w:tc>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Early redemption, Transfer of units, Exit query</w:t>
            </w:r>
          </w:p>
        </w:tc>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Investment Committee</w:t>
            </w:r>
          </w:p>
        </w:tc>
        <w:tc>
          <w:tcPr>
            <w:tcW w:type="dxa" w:w="19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Per Fund Terms</w:t>
            </w:r>
          </w:p>
        </w:tc>
      </w:tr>
    </w:tbl>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12.4 SR Features</w:t>
      </w:r>
    </w:p>
    <w:p>
      <w:pPr>
        <w:pStyle w:val="ListParagraph"/>
        <w:numPr>
          <w:ilvl w:val="0"/>
          <w:numId w:val="2"/>
        </w:numPr>
        <w:spacing w:before="60" w:after="60"/>
      </w:pPr>
      <w:r>
        <w:rPr>
          <w:rFonts w:ascii="Arial" w:cs="Arial" w:eastAsia="Arial" w:hAnsi="Arial"/>
          <w:color w:val="1F2D3D"/>
          <w:sz w:val="20"/>
          <w:szCs w:val="20"/>
        </w:rPr>
        <w:t xml:space="preserve">Auto-routing engine: Node.js rules engine routes SR based on business line + category + client tier</w:t>
      </w:r>
    </w:p>
    <w:p>
      <w:pPr>
        <w:pStyle w:val="ListParagraph"/>
        <w:numPr>
          <w:ilvl w:val="0"/>
          <w:numId w:val="2"/>
        </w:numPr>
        <w:spacing w:before="60" w:after="60"/>
      </w:pPr>
      <w:r>
        <w:rPr>
          <w:rFonts w:ascii="Arial" w:cs="Arial" w:eastAsia="Arial" w:hAnsi="Arial"/>
          <w:color w:val="1F2D3D"/>
          <w:sz w:val="20"/>
          <w:szCs w:val="20"/>
        </w:rPr>
        <w:t xml:space="preserve">Priority matrix: Client tier (UHNI/HNI/Standard) × Issue severity → P1/P2/P3/P4</w:t>
      </w:r>
    </w:p>
    <w:p>
      <w:pPr>
        <w:pStyle w:val="ListParagraph"/>
        <w:numPr>
          <w:ilvl w:val="0"/>
          <w:numId w:val="2"/>
        </w:numPr>
        <w:spacing w:before="60" w:after="60"/>
      </w:pPr>
      <w:r>
        <w:rPr>
          <w:rFonts w:ascii="Arial" w:cs="Arial" w:eastAsia="Arial" w:hAnsi="Arial"/>
          <w:color w:val="1F2D3D"/>
          <w:sz w:val="20"/>
          <w:szCs w:val="20"/>
        </w:rPr>
        <w:t xml:space="preserve">SLA clock: Auto-starts on SR creation; paused on client response needed; breach alerts at 80% elapsed</w:t>
      </w:r>
    </w:p>
    <w:p>
      <w:pPr>
        <w:pStyle w:val="ListParagraph"/>
        <w:numPr>
          <w:ilvl w:val="0"/>
          <w:numId w:val="2"/>
        </w:numPr>
        <w:spacing w:before="60" w:after="60"/>
      </w:pPr>
      <w:r>
        <w:rPr>
          <w:rFonts w:ascii="Arial" w:cs="Arial" w:eastAsia="Arial" w:hAnsi="Arial"/>
          <w:color w:val="1F2D3D"/>
          <w:sz w:val="20"/>
          <w:szCs w:val="20"/>
        </w:rPr>
        <w:t xml:space="preserve">Multi-level approval workflow: SRs requiring financial action need manager/ops head approval</w:t>
      </w:r>
    </w:p>
    <w:p>
      <w:pPr>
        <w:pStyle w:val="ListParagraph"/>
        <w:numPr>
          <w:ilvl w:val="0"/>
          <w:numId w:val="2"/>
        </w:numPr>
        <w:spacing w:before="60" w:after="60"/>
      </w:pPr>
      <w:r>
        <w:rPr>
          <w:rFonts w:ascii="Arial" w:cs="Arial" w:eastAsia="Arial" w:hAnsi="Arial"/>
          <w:color w:val="1F2D3D"/>
          <w:sz w:val="20"/>
          <w:szCs w:val="20"/>
        </w:rPr>
        <w:t xml:space="preserve">Linked SRs: Group duplicate issues; mass-update linked SRs on resolution</w:t>
      </w:r>
    </w:p>
    <w:p>
      <w:pPr>
        <w:pStyle w:val="ListParagraph"/>
        <w:numPr>
          <w:ilvl w:val="0"/>
          <w:numId w:val="2"/>
        </w:numPr>
        <w:spacing w:before="60" w:after="60"/>
      </w:pPr>
      <w:r>
        <w:rPr>
          <w:rFonts w:ascii="Arial" w:cs="Arial" w:eastAsia="Arial" w:hAnsi="Arial"/>
          <w:color w:val="1F2D3D"/>
          <w:sz w:val="20"/>
          <w:szCs w:val="20"/>
        </w:rPr>
        <w:t xml:space="preserve">Knowledge base integration: Suggest relevant KB articles to agents during SR resolution</w:t>
      </w:r>
    </w:p>
    <w:p>
      <w:pPr>
        <w:pStyle w:val="ListParagraph"/>
        <w:numPr>
          <w:ilvl w:val="0"/>
          <w:numId w:val="2"/>
        </w:numPr>
        <w:spacing w:before="60" w:after="60"/>
      </w:pPr>
      <w:r>
        <w:rPr>
          <w:rFonts w:ascii="Arial" w:cs="Arial" w:eastAsia="Arial" w:hAnsi="Arial"/>
          <w:color w:val="1F2D3D"/>
          <w:sz w:val="20"/>
          <w:szCs w:val="20"/>
        </w:rPr>
        <w:t xml:space="preserve">Client portal SR tracking: Client sees status, agent name, expected resolution date</w:t>
      </w:r>
    </w:p>
    <w:p>
      <w:pPr>
        <w:pStyle w:val="ListParagraph"/>
        <w:numPr>
          <w:ilvl w:val="0"/>
          <w:numId w:val="2"/>
        </w:numPr>
        <w:spacing w:before="60" w:after="60"/>
      </w:pPr>
      <w:r>
        <w:rPr>
          <w:rFonts w:ascii="Arial" w:cs="Arial" w:eastAsia="Arial" w:hAnsi="Arial"/>
          <w:color w:val="1F2D3D"/>
          <w:sz w:val="20"/>
          <w:szCs w:val="20"/>
        </w:rPr>
        <w:t xml:space="preserve">Audit log: Every status change, reassignment, and note is time-stamped and user-attributed</w:t>
      </w:r>
    </w:p>
    <w:p>
      <w:pPr>
        <w:spacing w:before="60" w:after="60"/>
      </w:pPr>
      <w:r>
        <w:t xml:space="preserve"/>
      </w:r>
    </w:p>
    <w:p>
      <w:pPr>
        <w:pStyle w:val="Heading1"/>
        <w:pageBreakBefore/>
        <w:spacing w:before="360" w:after="180"/>
      </w:pPr>
      <w:r>
        <w:rPr>
          <w:rFonts w:ascii="Arial" w:cs="Arial" w:eastAsia="Arial" w:hAnsi="Arial"/>
          <w:b/>
          <w:bCs/>
          <w:color w:val="1B3A6B"/>
          <w:sz w:val="36"/>
          <w:szCs w:val="36"/>
        </w:rPr>
        <w:t xml:space="preserve">13. Lead Management &amp; Workflow</w:t>
      </w:r>
    </w:p>
    <w:p>
      <w:pPr>
        <w:pStyle w:val="Heading2"/>
        <w:pBdr>
          <w:bottom w:val="single" w:color="2E75B6" w:sz="4" w:space="4"/>
        </w:pBdr>
        <w:spacing w:before="280" w:after="140"/>
      </w:pPr>
      <w:r>
        <w:rPr>
          <w:rFonts w:ascii="Arial" w:cs="Arial" w:eastAsia="Arial" w:hAnsi="Arial"/>
          <w:b/>
          <w:bCs/>
          <w:color w:val="2E75B6"/>
          <w:sz w:val="28"/>
          <w:szCs w:val="28"/>
        </w:rPr>
        <w:t xml:space="preserve">13.1 Lead Capture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Source</w:t>
            </w:r>
          </w:p>
        </w:tc>
        <w:tc>
          <w:tcPr>
            <w:tcW w:type="dxa" w:w="18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Channel</w:t>
            </w:r>
          </w:p>
        </w:tc>
        <w:tc>
          <w:tcPr>
            <w:tcW w:type="dxa" w:w="22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Business Lines</w:t>
            </w:r>
          </w:p>
        </w:tc>
        <w:tc>
          <w:tcPr>
            <w:tcW w:type="dxa" w:w="31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Integration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Website / Landing Page</w:t>
            </w:r>
          </w:p>
        </w:tc>
        <w:tc>
          <w:tcPr>
            <w:tcW w:type="dxa" w:w="18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Web Form</w:t>
            </w:r>
          </w:p>
        </w:tc>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Retail, IB, AIF</w:t>
            </w:r>
          </w:p>
        </w:tc>
        <w:tc>
          <w:tcPr>
            <w:tcW w:type="dxa" w:w="3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REST API → CRM Lead Queue</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Mobile App</w:t>
            </w:r>
          </w:p>
        </w:tc>
        <w:tc>
          <w:tcPr>
            <w:tcW w:type="dxa" w:w="18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In-App Lead Form</w:t>
            </w:r>
          </w:p>
        </w:tc>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Retail</w:t>
            </w:r>
          </w:p>
        </w:tc>
        <w:tc>
          <w:tcPr>
            <w:tcW w:type="dxa" w:w="3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Mobile SDK → CRM API</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Branch Walk-in</w:t>
            </w:r>
          </w:p>
        </w:tc>
        <w:tc>
          <w:tcPr>
            <w:tcW w:type="dxa" w:w="18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Agent Entry</w:t>
            </w:r>
          </w:p>
        </w:tc>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Retail, Corporate</w:t>
            </w:r>
          </w:p>
        </w:tc>
        <w:tc>
          <w:tcPr>
            <w:tcW w:type="dxa" w:w="3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CRM Web App</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Referral Program</w:t>
            </w:r>
          </w:p>
        </w:tc>
        <w:tc>
          <w:tcPr>
            <w:tcW w:type="dxa" w:w="18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Client Referral Link</w:t>
            </w:r>
          </w:p>
        </w:tc>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Retail, AIF</w:t>
            </w:r>
          </w:p>
        </w:tc>
        <w:tc>
          <w:tcPr>
            <w:tcW w:type="dxa" w:w="3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Referral Portal API</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Digital Campaign</w:t>
            </w:r>
          </w:p>
        </w:tc>
        <w:tc>
          <w:tcPr>
            <w:tcW w:type="dxa" w:w="18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Google Ads, Meta, LinkedIn</w:t>
            </w:r>
          </w:p>
        </w:tc>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Retail, IB, AIF</w:t>
            </w:r>
          </w:p>
        </w:tc>
        <w:tc>
          <w:tcPr>
            <w:tcW w:type="dxa" w:w="3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UTM + webhook</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Partner / IFA Channel</w:t>
            </w:r>
          </w:p>
        </w:tc>
        <w:tc>
          <w:tcPr>
            <w:tcW w:type="dxa" w:w="18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Partner Portal</w:t>
            </w:r>
          </w:p>
        </w:tc>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Retail, AIF</w:t>
            </w:r>
          </w:p>
        </w:tc>
        <w:tc>
          <w:tcPr>
            <w:tcW w:type="dxa" w:w="3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Partner API</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Bloomberg Outreach</w:t>
            </w:r>
          </w:p>
        </w:tc>
        <w:tc>
          <w:tcPr>
            <w:tcW w:type="dxa" w:w="18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Bloomberg Terminal</w:t>
            </w:r>
          </w:p>
        </w:tc>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Institutional, IB</w:t>
            </w:r>
          </w:p>
        </w:tc>
        <w:tc>
          <w:tcPr>
            <w:tcW w:type="dxa" w:w="3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Bloomberg API</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Events / Conferences</w:t>
            </w:r>
          </w:p>
        </w:tc>
        <w:tc>
          <w:tcPr>
            <w:tcW w:type="dxa" w:w="18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Event Registrations</w:t>
            </w:r>
          </w:p>
        </w:tc>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IB, AIF, Institutional</w:t>
            </w:r>
          </w:p>
        </w:tc>
        <w:tc>
          <w:tcPr>
            <w:tcW w:type="dxa" w:w="3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Agent manual entry</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Inbound Call</w:t>
            </w:r>
          </w:p>
        </w:tc>
        <w:tc>
          <w:tcPr>
            <w:tcW w:type="dxa" w:w="18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IVR / Call Center</w:t>
            </w:r>
          </w:p>
        </w:tc>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Retail, Corporate</w:t>
            </w:r>
          </w:p>
        </w:tc>
        <w:tc>
          <w:tcPr>
            <w:tcW w:type="dxa" w:w="3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CTI screen-pop</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Email Inquiry</w:t>
            </w:r>
          </w:p>
        </w:tc>
        <w:tc>
          <w:tcPr>
            <w:tcW w:type="dxa" w:w="18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Inbound Email</w:t>
            </w:r>
          </w:p>
        </w:tc>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All Business Lines</w:t>
            </w:r>
          </w:p>
        </w:tc>
        <w:tc>
          <w:tcPr>
            <w:tcW w:type="dxa" w:w="3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Email-to-lead (AWS SES)</w:t>
            </w:r>
          </w:p>
        </w:tc>
      </w:tr>
    </w:tbl>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13.2 Lead Qualification Framework</w:t>
      </w:r>
    </w:p>
    <w:p>
      <w:pPr>
        <w:pStyle w:val="ListParagraph"/>
        <w:numPr>
          <w:ilvl w:val="0"/>
          <w:numId w:val="2"/>
        </w:numPr>
        <w:spacing w:before="60" w:after="60"/>
      </w:pPr>
      <w:r>
        <w:rPr>
          <w:rFonts w:ascii="Arial" w:cs="Arial" w:eastAsia="Arial" w:hAnsi="Arial"/>
          <w:color w:val="1F2D3D"/>
          <w:sz w:val="20"/>
          <w:szCs w:val="20"/>
        </w:rPr>
        <w:t xml:space="preserve">BANT framework: Budget, Authority, Need, Timeline — scored 0-25 each; total score 0-100</w:t>
      </w:r>
    </w:p>
    <w:p>
      <w:pPr>
        <w:pStyle w:val="ListParagraph"/>
        <w:numPr>
          <w:ilvl w:val="0"/>
          <w:numId w:val="2"/>
        </w:numPr>
        <w:spacing w:before="60" w:after="60"/>
      </w:pPr>
      <w:r>
        <w:rPr>
          <w:rFonts w:ascii="Arial" w:cs="Arial" w:eastAsia="Arial" w:hAnsi="Arial"/>
          <w:color w:val="1F2D3D"/>
          <w:sz w:val="20"/>
          <w:szCs w:val="20"/>
        </w:rPr>
        <w:t xml:space="preserve">Lead score thresholds: Hot (&gt;75), Warm (50-75), Cold (&lt;50)</w:t>
      </w:r>
    </w:p>
    <w:p>
      <w:pPr>
        <w:pStyle w:val="ListParagraph"/>
        <w:numPr>
          <w:ilvl w:val="0"/>
          <w:numId w:val="2"/>
        </w:numPr>
        <w:spacing w:before="60" w:after="60"/>
      </w:pPr>
      <w:r>
        <w:rPr>
          <w:rFonts w:ascii="Arial" w:cs="Arial" w:eastAsia="Arial" w:hAnsi="Arial"/>
          <w:color w:val="1F2D3D"/>
          <w:sz w:val="20"/>
          <w:szCs w:val="20"/>
        </w:rPr>
        <w:t xml:space="preserve">Auto-assignment: Hot leads assigned within 1 hour; Warm within 4 hours; Cold in batches</w:t>
      </w:r>
    </w:p>
    <w:p>
      <w:pPr>
        <w:pStyle w:val="ListParagraph"/>
        <w:numPr>
          <w:ilvl w:val="0"/>
          <w:numId w:val="2"/>
        </w:numPr>
        <w:spacing w:before="60" w:after="60"/>
      </w:pPr>
      <w:r>
        <w:rPr>
          <w:rFonts w:ascii="Arial" w:cs="Arial" w:eastAsia="Arial" w:hAnsi="Arial"/>
          <w:color w:val="1F2D3D"/>
          <w:sz w:val="20"/>
          <w:szCs w:val="20"/>
        </w:rPr>
        <w:t xml:space="preserve">Duplicate detection: PAN + Mobile + Email checked against existing leads and clients</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13.3 Lead Nurture Workflows</w:t>
      </w:r>
    </w:p>
    <w:p>
      <w:pPr>
        <w:pStyle w:val="ListParagraph"/>
        <w:numPr>
          <w:ilvl w:val="0"/>
          <w:numId w:val="2"/>
        </w:numPr>
        <w:spacing w:before="60" w:after="60"/>
      </w:pPr>
      <w:r>
        <w:rPr>
          <w:rFonts w:ascii="Arial" w:cs="Arial" w:eastAsia="Arial" w:hAnsi="Arial"/>
          <w:color w:val="1F2D3D"/>
          <w:sz w:val="20"/>
          <w:szCs w:val="20"/>
        </w:rPr>
        <w:t xml:space="preserve">Drip email sequences: 7-step sequence per product category using AWS SES with unsubscribe management</w:t>
      </w:r>
    </w:p>
    <w:p>
      <w:pPr>
        <w:pStyle w:val="ListParagraph"/>
        <w:numPr>
          <w:ilvl w:val="0"/>
          <w:numId w:val="2"/>
        </w:numPr>
        <w:spacing w:before="60" w:after="60"/>
      </w:pPr>
      <w:r>
        <w:rPr>
          <w:rFonts w:ascii="Arial" w:cs="Arial" w:eastAsia="Arial" w:hAnsi="Arial"/>
          <w:color w:val="1F2D3D"/>
          <w:sz w:val="20"/>
          <w:szCs w:val="20"/>
        </w:rPr>
        <w:t xml:space="preserve">WhatsApp drip: 3-step WhatsApp sequence via WhatsApp Cloud API</w:t>
      </w:r>
    </w:p>
    <w:p>
      <w:pPr>
        <w:pStyle w:val="ListParagraph"/>
        <w:numPr>
          <w:ilvl w:val="0"/>
          <w:numId w:val="2"/>
        </w:numPr>
        <w:spacing w:before="60" w:after="60"/>
      </w:pPr>
      <w:r>
        <w:rPr>
          <w:rFonts w:ascii="Arial" w:cs="Arial" w:eastAsia="Arial" w:hAnsi="Arial"/>
          <w:color w:val="1F2D3D"/>
          <w:sz w:val="20"/>
          <w:szCs w:val="20"/>
        </w:rPr>
        <w:t xml:space="preserve">Re-engagement: Leads dormant &gt;14 days auto-enrolled in re-engagement campaign</w:t>
      </w:r>
    </w:p>
    <w:p>
      <w:pPr>
        <w:pStyle w:val="ListParagraph"/>
        <w:numPr>
          <w:ilvl w:val="0"/>
          <w:numId w:val="2"/>
        </w:numPr>
        <w:spacing w:before="60" w:after="60"/>
      </w:pPr>
      <w:r>
        <w:rPr>
          <w:rFonts w:ascii="Arial" w:cs="Arial" w:eastAsia="Arial" w:hAnsi="Arial"/>
          <w:color w:val="1F2D3D"/>
          <w:sz w:val="20"/>
          <w:szCs w:val="20"/>
        </w:rPr>
        <w:t xml:space="preserve">Stage aging alerts: Lead stuck in same stage &gt;configured threshold → alert to RM supervisor</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13.4 Lead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Report</w:t>
            </w:r>
          </w:p>
        </w:tc>
        <w:tc>
          <w:tcPr>
            <w:tcW w:type="dxa" w:w="58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Metric</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Lead Funnel</w:t>
            </w:r>
          </w:p>
        </w:tc>
        <w:tc>
          <w:tcPr>
            <w:tcW w:type="dxa" w:w="58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Conversion rates at each stage by business line</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Source Effectiveness</w:t>
            </w:r>
          </w:p>
        </w:tc>
        <w:tc>
          <w:tcPr>
            <w:tcW w:type="dxa" w:w="58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Leads by source vs conversion — ROI per source</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RM Performance</w:t>
            </w:r>
          </w:p>
        </w:tc>
        <w:tc>
          <w:tcPr>
            <w:tcW w:type="dxa" w:w="58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Leads assigned vs contacted vs converted per RM</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Time-to-Contact</w:t>
            </w:r>
          </w:p>
        </w:tc>
        <w:tc>
          <w:tcPr>
            <w:tcW w:type="dxa" w:w="58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Distribution of time between lead creation and first call</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Lost Lead Analysis</w:t>
            </w:r>
          </w:p>
        </w:tc>
        <w:tc>
          <w:tcPr>
            <w:tcW w:type="dxa" w:w="58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Reason for loss by category, business line, product</w:t>
            </w:r>
          </w:p>
        </w:tc>
      </w:tr>
    </w:tbl>
    <w:p>
      <w:pPr>
        <w:spacing w:before="60" w:after="60"/>
      </w:pPr>
      <w:r>
        <w:t xml:space="preserve"/>
      </w:r>
    </w:p>
    <w:p>
      <w:pPr>
        <w:pStyle w:val="Heading1"/>
        <w:pageBreakBefore/>
        <w:spacing w:before="360" w:after="180"/>
      </w:pPr>
      <w:r>
        <w:rPr>
          <w:rFonts w:ascii="Arial" w:cs="Arial" w:eastAsia="Arial" w:hAnsi="Arial"/>
          <w:b/>
          <w:bCs/>
          <w:color w:val="1B3A6B"/>
          <w:sz w:val="36"/>
          <w:szCs w:val="36"/>
        </w:rPr>
        <w:t xml:space="preserve">14. Document Management System</w:t>
      </w:r>
    </w:p>
    <w:p>
      <w:pPr>
        <w:pStyle w:val="Heading2"/>
        <w:pBdr>
          <w:bottom w:val="single" w:color="2E75B6" w:sz="4" w:space="4"/>
        </w:pBdr>
        <w:spacing w:before="280" w:after="140"/>
      </w:pPr>
      <w:r>
        <w:rPr>
          <w:rFonts w:ascii="Arial" w:cs="Arial" w:eastAsia="Arial" w:hAnsi="Arial"/>
          <w:b/>
          <w:bCs/>
          <w:color w:val="2E75B6"/>
          <w:sz w:val="28"/>
          <w:szCs w:val="28"/>
        </w:rPr>
        <w:t xml:space="preserve">14.1 Architecture</w:t>
      </w:r>
    </w:p>
    <w:p>
      <w:pPr>
        <w:pStyle w:val="ListParagraph"/>
        <w:numPr>
          <w:ilvl w:val="0"/>
          <w:numId w:val="2"/>
        </w:numPr>
        <w:spacing w:before="60" w:after="60"/>
      </w:pPr>
      <w:r>
        <w:rPr>
          <w:rFonts w:ascii="Arial" w:cs="Arial" w:eastAsia="Arial" w:hAnsi="Arial"/>
          <w:color w:val="1F2D3D"/>
          <w:sz w:val="20"/>
          <w:szCs w:val="20"/>
        </w:rPr>
        <w:t xml:space="preserve">Primary storage: AWS S3 with server-side encryption (SSE-S3 / SSE-KMS)</w:t>
      </w:r>
    </w:p>
    <w:p>
      <w:pPr>
        <w:pStyle w:val="ListParagraph"/>
        <w:numPr>
          <w:ilvl w:val="0"/>
          <w:numId w:val="2"/>
        </w:numPr>
        <w:spacing w:before="60" w:after="60"/>
      </w:pPr>
      <w:r>
        <w:rPr>
          <w:rFonts w:ascii="Arial" w:cs="Arial" w:eastAsia="Arial" w:hAnsi="Arial"/>
          <w:color w:val="1F2D3D"/>
          <w:sz w:val="20"/>
          <w:szCs w:val="20"/>
        </w:rPr>
        <w:t xml:space="preserve">Access delivery: AWS CloudFront signed URLs with 15-minute expiry for document viewing</w:t>
      </w:r>
    </w:p>
    <w:p>
      <w:pPr>
        <w:pStyle w:val="ListParagraph"/>
        <w:numPr>
          <w:ilvl w:val="0"/>
          <w:numId w:val="2"/>
        </w:numPr>
        <w:spacing w:before="60" w:after="60"/>
      </w:pPr>
      <w:r>
        <w:rPr>
          <w:rFonts w:ascii="Arial" w:cs="Arial" w:eastAsia="Arial" w:hAnsi="Arial"/>
          <w:color w:val="1F2D3D"/>
          <w:sz w:val="20"/>
          <w:szCs w:val="20"/>
        </w:rPr>
        <w:t xml:space="preserve">Document metadata: Stored in PostgreSQL — file name, type, size, uploader, linked entity, tags, version</w:t>
      </w:r>
    </w:p>
    <w:p>
      <w:pPr>
        <w:pStyle w:val="ListParagraph"/>
        <w:numPr>
          <w:ilvl w:val="0"/>
          <w:numId w:val="2"/>
        </w:numPr>
        <w:spacing w:before="60" w:after="60"/>
      </w:pPr>
      <w:r>
        <w:rPr>
          <w:rFonts w:ascii="Arial" w:cs="Arial" w:eastAsia="Arial" w:hAnsi="Arial"/>
          <w:color w:val="1F2D3D"/>
          <w:sz w:val="20"/>
          <w:szCs w:val="20"/>
        </w:rPr>
        <w:t xml:space="preserve">Versioning: S3 versioning enabled; CRM displays version history with change notes</w:t>
      </w:r>
    </w:p>
    <w:p>
      <w:pPr>
        <w:pStyle w:val="ListParagraph"/>
        <w:numPr>
          <w:ilvl w:val="0"/>
          <w:numId w:val="2"/>
        </w:numPr>
        <w:spacing w:before="60" w:after="60"/>
      </w:pPr>
      <w:r>
        <w:rPr>
          <w:rFonts w:ascii="Arial" w:cs="Arial" w:eastAsia="Arial" w:hAnsi="Arial"/>
          <w:color w:val="1F2D3D"/>
          <w:sz w:val="20"/>
          <w:szCs w:val="20"/>
        </w:rPr>
        <w:t xml:space="preserve">Virus scanning: AWS Lambda trigger on S3 upload invokes ClamAV scan; infected files quarantined</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14.2 Document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Category</w:t>
            </w:r>
          </w:p>
        </w:tc>
        <w:tc>
          <w:tcPr>
            <w:tcW w:type="dxa" w:w="24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Business Lines</w:t>
            </w:r>
          </w:p>
        </w:tc>
        <w:tc>
          <w:tcPr>
            <w:tcW w:type="dxa" w:w="35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Retention</w:t>
            </w:r>
          </w:p>
        </w:tc>
      </w:tr>
      <w:tr>
        <w:tc>
          <w:tcPr>
            <w:tcW w:type="dxa" w:w="3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KYC Documents</w:t>
            </w:r>
          </w:p>
        </w:tc>
        <w:tc>
          <w:tcPr>
            <w:tcW w:type="dxa" w:w="2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All</w:t>
            </w:r>
          </w:p>
        </w:tc>
        <w:tc>
          <w:tcPr>
            <w:tcW w:type="dxa" w:w="35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10 years from account closure</w:t>
            </w:r>
          </w:p>
        </w:tc>
      </w:tr>
      <w:tr>
        <w:tc>
          <w:tcPr>
            <w:tcW w:type="dxa" w:w="3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Account Opening Forms</w:t>
            </w:r>
          </w:p>
        </w:tc>
        <w:tc>
          <w:tcPr>
            <w:tcW w:type="dxa" w:w="2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Retail, Corporate</w:t>
            </w:r>
          </w:p>
        </w:tc>
        <w:tc>
          <w:tcPr>
            <w:tcW w:type="dxa" w:w="35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10 years</w:t>
            </w:r>
          </w:p>
        </w:tc>
      </w:tr>
      <w:tr>
        <w:tc>
          <w:tcPr>
            <w:tcW w:type="dxa" w:w="3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Pitch Books &amp; Presentations</w:t>
            </w:r>
          </w:p>
        </w:tc>
        <w:tc>
          <w:tcPr>
            <w:tcW w:type="dxa" w:w="2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IB, Institutional</w:t>
            </w:r>
          </w:p>
        </w:tc>
        <w:tc>
          <w:tcPr>
            <w:tcW w:type="dxa" w:w="35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7 years</w:t>
            </w:r>
          </w:p>
        </w:tc>
      </w:tr>
      <w:tr>
        <w:tc>
          <w:tcPr>
            <w:tcW w:type="dxa" w:w="3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Engagement Letters / LOEs</w:t>
            </w:r>
          </w:p>
        </w:tc>
        <w:tc>
          <w:tcPr>
            <w:tcW w:type="dxa" w:w="2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IB, Corporate</w:t>
            </w:r>
          </w:p>
        </w:tc>
        <w:tc>
          <w:tcPr>
            <w:tcW w:type="dxa" w:w="35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7 years</w:t>
            </w:r>
          </w:p>
        </w:tc>
      </w:tr>
      <w:tr>
        <w:tc>
          <w:tcPr>
            <w:tcW w:type="dxa" w:w="3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NDAs / Confidentiality Agreements</w:t>
            </w:r>
          </w:p>
        </w:tc>
        <w:tc>
          <w:tcPr>
            <w:tcW w:type="dxa" w:w="2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IB, Institutional</w:t>
            </w:r>
          </w:p>
        </w:tc>
        <w:tc>
          <w:tcPr>
            <w:tcW w:type="dxa" w:w="35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7 years</w:t>
            </w:r>
          </w:p>
        </w:tc>
      </w:tr>
      <w:tr>
        <w:tc>
          <w:tcPr>
            <w:tcW w:type="dxa" w:w="3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Subscription Agreements</w:t>
            </w:r>
          </w:p>
        </w:tc>
        <w:tc>
          <w:tcPr>
            <w:tcW w:type="dxa" w:w="2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AIF</w:t>
            </w:r>
          </w:p>
        </w:tc>
        <w:tc>
          <w:tcPr>
            <w:tcW w:type="dxa" w:w="35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15 years</w:t>
            </w:r>
          </w:p>
        </w:tc>
      </w:tr>
      <w:tr>
        <w:tc>
          <w:tcPr>
            <w:tcW w:type="dxa" w:w="3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Research Reports</w:t>
            </w:r>
          </w:p>
        </w:tc>
        <w:tc>
          <w:tcPr>
            <w:tcW w:type="dxa" w:w="2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Institutional</w:t>
            </w:r>
          </w:p>
        </w:tc>
        <w:tc>
          <w:tcPr>
            <w:tcW w:type="dxa" w:w="35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7 years</w:t>
            </w:r>
          </w:p>
        </w:tc>
      </w:tr>
      <w:tr>
        <w:tc>
          <w:tcPr>
            <w:tcW w:type="dxa" w:w="3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SEBI / Regulatory Filings</w:t>
            </w:r>
          </w:p>
        </w:tc>
        <w:tc>
          <w:tcPr>
            <w:tcW w:type="dxa" w:w="2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IB, AIF</w:t>
            </w:r>
          </w:p>
        </w:tc>
        <w:tc>
          <w:tcPr>
            <w:tcW w:type="dxa" w:w="35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10 years</w:t>
            </w:r>
          </w:p>
        </w:tc>
      </w:tr>
      <w:tr>
        <w:tc>
          <w:tcPr>
            <w:tcW w:type="dxa" w:w="3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Term Sheets / Tombstones</w:t>
            </w:r>
          </w:p>
        </w:tc>
        <w:tc>
          <w:tcPr>
            <w:tcW w:type="dxa" w:w="2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IB</w:t>
            </w:r>
          </w:p>
        </w:tc>
        <w:tc>
          <w:tcPr>
            <w:tcW w:type="dxa" w:w="35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Permanent</w:t>
            </w:r>
          </w:p>
        </w:tc>
      </w:tr>
      <w:tr>
        <w:tc>
          <w:tcPr>
            <w:tcW w:type="dxa" w:w="3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Capital Call Notices</w:t>
            </w:r>
          </w:p>
        </w:tc>
        <w:tc>
          <w:tcPr>
            <w:tcW w:type="dxa" w:w="2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AIF</w:t>
            </w:r>
          </w:p>
        </w:tc>
        <w:tc>
          <w:tcPr>
            <w:tcW w:type="dxa" w:w="35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15 years</w:t>
            </w:r>
          </w:p>
        </w:tc>
      </w:tr>
      <w:tr>
        <w:tc>
          <w:tcPr>
            <w:tcW w:type="dxa" w:w="3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Trade Confirmations</w:t>
            </w:r>
          </w:p>
        </w:tc>
        <w:tc>
          <w:tcPr>
            <w:tcW w:type="dxa" w:w="2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Retail, Corporate, Institutional</w:t>
            </w:r>
          </w:p>
        </w:tc>
        <w:tc>
          <w:tcPr>
            <w:tcW w:type="dxa" w:w="35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7 years</w:t>
            </w:r>
          </w:p>
        </w:tc>
      </w:tr>
      <w:tr>
        <w:tc>
          <w:tcPr>
            <w:tcW w:type="dxa" w:w="3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Compliance Audit Logs</w:t>
            </w:r>
          </w:p>
        </w:tc>
        <w:tc>
          <w:tcPr>
            <w:tcW w:type="dxa" w:w="2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All</w:t>
            </w:r>
          </w:p>
        </w:tc>
        <w:tc>
          <w:tcPr>
            <w:tcW w:type="dxa" w:w="35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7 years</w:t>
            </w:r>
          </w:p>
        </w:tc>
      </w:tr>
    </w:tbl>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14.3 Document Workflow</w:t>
      </w:r>
    </w:p>
    <w:p>
      <w:pPr>
        <w:pStyle w:val="ListParagraph"/>
        <w:numPr>
          <w:ilvl w:val="0"/>
          <w:numId w:val="2"/>
        </w:numPr>
        <w:spacing w:before="60" w:after="60"/>
      </w:pPr>
      <w:r>
        <w:rPr>
          <w:rFonts w:ascii="Arial" w:cs="Arial" w:eastAsia="Arial" w:hAnsi="Arial"/>
          <w:color w:val="1F2D3D"/>
          <w:sz w:val="20"/>
          <w:szCs w:val="20"/>
        </w:rPr>
        <w:t xml:space="preserve">Upload: Drag-and-drop in React UI; multi-file upload with progress indicator</w:t>
      </w:r>
    </w:p>
    <w:p>
      <w:pPr>
        <w:pStyle w:val="ListParagraph"/>
        <w:numPr>
          <w:ilvl w:val="0"/>
          <w:numId w:val="2"/>
        </w:numPr>
        <w:spacing w:before="60" w:after="60"/>
      </w:pPr>
      <w:r>
        <w:rPr>
          <w:rFonts w:ascii="Arial" w:cs="Arial" w:eastAsia="Arial" w:hAnsi="Arial"/>
          <w:color w:val="1F2D3D"/>
          <w:sz w:val="20"/>
          <w:szCs w:val="20"/>
        </w:rPr>
        <w:t xml:space="preserve">Mandatory metadata: Category, linked entity (Client/Deal/Fund), description, confidentiality level</w:t>
      </w:r>
    </w:p>
    <w:p>
      <w:pPr>
        <w:pStyle w:val="ListParagraph"/>
        <w:numPr>
          <w:ilvl w:val="0"/>
          <w:numId w:val="2"/>
        </w:numPr>
        <w:spacing w:before="60" w:after="60"/>
      </w:pPr>
      <w:r>
        <w:rPr>
          <w:rFonts w:ascii="Arial" w:cs="Arial" w:eastAsia="Arial" w:hAnsi="Arial"/>
          <w:color w:val="1F2D3D"/>
          <w:sz w:val="20"/>
          <w:szCs w:val="20"/>
        </w:rPr>
        <w:t xml:space="preserve">Approval workflow: Sensitive documents (NDAs, Engagement Letters) require compliance officer approval before sharing</w:t>
      </w:r>
    </w:p>
    <w:p>
      <w:pPr>
        <w:pStyle w:val="ListParagraph"/>
        <w:numPr>
          <w:ilvl w:val="0"/>
          <w:numId w:val="2"/>
        </w:numPr>
        <w:spacing w:before="60" w:after="60"/>
      </w:pPr>
      <w:r>
        <w:rPr>
          <w:rFonts w:ascii="Arial" w:cs="Arial" w:eastAsia="Arial" w:hAnsi="Arial"/>
          <w:color w:val="1F2D3D"/>
          <w:sz w:val="20"/>
          <w:szCs w:val="20"/>
        </w:rPr>
        <w:t xml:space="preserve">Sharing: Generate shareable link with expiry; watermarking optional per document category</w:t>
      </w:r>
    </w:p>
    <w:p>
      <w:pPr>
        <w:pStyle w:val="ListParagraph"/>
        <w:numPr>
          <w:ilvl w:val="0"/>
          <w:numId w:val="2"/>
        </w:numPr>
        <w:spacing w:before="60" w:after="60"/>
      </w:pPr>
      <w:r>
        <w:rPr>
          <w:rFonts w:ascii="Arial" w:cs="Arial" w:eastAsia="Arial" w:hAnsi="Arial"/>
          <w:color w:val="1F2D3D"/>
          <w:sz w:val="20"/>
          <w:szCs w:val="20"/>
        </w:rPr>
        <w:t xml:space="preserve">Client portal access: Clients view only documents tagged to their profile with explicit access grants</w:t>
      </w:r>
    </w:p>
    <w:p>
      <w:pPr>
        <w:pStyle w:val="ListParagraph"/>
        <w:numPr>
          <w:ilvl w:val="0"/>
          <w:numId w:val="2"/>
        </w:numPr>
        <w:spacing w:before="60" w:after="60"/>
      </w:pPr>
      <w:r>
        <w:rPr>
          <w:rFonts w:ascii="Arial" w:cs="Arial" w:eastAsia="Arial" w:hAnsi="Arial"/>
          <w:color w:val="1F2D3D"/>
          <w:sz w:val="20"/>
          <w:szCs w:val="20"/>
        </w:rPr>
        <w:t xml:space="preserve">Auto-archival: Documents past retention date flagged for review; manual archive action required</w:t>
      </w:r>
    </w:p>
    <w:p>
      <w:pPr>
        <w:spacing w:before="60" w:after="60"/>
      </w:pPr>
      <w:r>
        <w:t xml:space="preserve"/>
      </w:r>
    </w:p>
    <w:p>
      <w:pPr>
        <w:pStyle w:val="Heading1"/>
        <w:pageBreakBefore/>
        <w:spacing w:before="360" w:after="180"/>
      </w:pPr>
      <w:r>
        <w:rPr>
          <w:rFonts w:ascii="Arial" w:cs="Arial" w:eastAsia="Arial" w:hAnsi="Arial"/>
          <w:b/>
          <w:bCs/>
          <w:color w:val="1B3A6B"/>
          <w:sz w:val="36"/>
          <w:szCs w:val="36"/>
        </w:rPr>
        <w:t xml:space="preserve">15. Compliance &amp; Regulatory</w:t>
      </w:r>
    </w:p>
    <w:p>
      <w:pPr>
        <w:pStyle w:val="Heading2"/>
        <w:pBdr>
          <w:bottom w:val="single" w:color="2E75B6" w:sz="4" w:space="4"/>
        </w:pBdr>
        <w:spacing w:before="280" w:after="140"/>
      </w:pPr>
      <w:r>
        <w:rPr>
          <w:rFonts w:ascii="Arial" w:cs="Arial" w:eastAsia="Arial" w:hAnsi="Arial"/>
          <w:b/>
          <w:bCs/>
          <w:color w:val="2E75B6"/>
          <w:sz w:val="28"/>
          <w:szCs w:val="28"/>
        </w:rPr>
        <w:t xml:space="preserve">15.1 Wall-Crossing &amp; Information Barriers</w:t>
      </w:r>
    </w:p>
    <w:p>
      <w:pPr>
        <w:pStyle w:val="ListParagraph"/>
        <w:numPr>
          <w:ilvl w:val="0"/>
          <w:numId w:val="2"/>
        </w:numPr>
        <w:spacing w:before="60" w:after="60"/>
      </w:pPr>
      <w:r>
        <w:rPr>
          <w:rFonts w:ascii="Arial" w:cs="Arial" w:eastAsia="Arial" w:hAnsi="Arial"/>
          <w:color w:val="1F2D3D"/>
          <w:sz w:val="20"/>
          <w:szCs w:val="20"/>
        </w:rPr>
        <w:t xml:space="preserve">Wall-crossing event logging: Initiated by Compliance Officer — records deal, team member, date/time, justification</w:t>
      </w:r>
    </w:p>
    <w:p>
      <w:pPr>
        <w:pStyle w:val="ListParagraph"/>
        <w:numPr>
          <w:ilvl w:val="0"/>
          <w:numId w:val="2"/>
        </w:numPr>
        <w:spacing w:before="60" w:after="60"/>
      </w:pPr>
      <w:r>
        <w:rPr>
          <w:rFonts w:ascii="Arial" w:cs="Arial" w:eastAsia="Arial" w:hAnsi="Arial"/>
          <w:color w:val="1F2D3D"/>
          <w:sz w:val="20"/>
          <w:szCs w:val="20"/>
        </w:rPr>
        <w:t xml:space="preserve">Inside information register: All individuals with access to UPSI (Unpublished Price Sensitive Information) tracked</w:t>
      </w:r>
    </w:p>
    <w:p>
      <w:pPr>
        <w:pStyle w:val="ListParagraph"/>
        <w:numPr>
          <w:ilvl w:val="0"/>
          <w:numId w:val="2"/>
        </w:numPr>
        <w:spacing w:before="60" w:after="60"/>
      </w:pPr>
      <w:r>
        <w:rPr>
          <w:rFonts w:ascii="Arial" w:cs="Arial" w:eastAsia="Arial" w:hAnsi="Arial"/>
          <w:color w:val="1F2D3D"/>
          <w:sz w:val="20"/>
          <w:szCs w:val="20"/>
        </w:rPr>
        <w:t xml:space="preserve">Chinese Wall enforcement: PostgreSQL row-level security restricts deal data access to deal team only</w:t>
      </w:r>
    </w:p>
    <w:p>
      <w:pPr>
        <w:pStyle w:val="ListParagraph"/>
        <w:numPr>
          <w:ilvl w:val="0"/>
          <w:numId w:val="2"/>
        </w:numPr>
        <w:spacing w:before="60" w:after="60"/>
      </w:pPr>
      <w:r>
        <w:rPr>
          <w:rFonts w:ascii="Arial" w:cs="Arial" w:eastAsia="Arial" w:hAnsi="Arial"/>
          <w:color w:val="1F2D3D"/>
          <w:sz w:val="20"/>
          <w:szCs w:val="20"/>
        </w:rPr>
        <w:t xml:space="preserve">Restricted list management: Stocks on restricted list automatically suppress research distribution and trade recommendations</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15.2 KYC / AML</w:t>
      </w:r>
    </w:p>
    <w:p>
      <w:pPr>
        <w:pStyle w:val="ListParagraph"/>
        <w:numPr>
          <w:ilvl w:val="0"/>
          <w:numId w:val="2"/>
        </w:numPr>
        <w:spacing w:before="60" w:after="60"/>
      </w:pPr>
      <w:r>
        <w:rPr>
          <w:rFonts w:ascii="Arial" w:cs="Arial" w:eastAsia="Arial" w:hAnsi="Arial"/>
          <w:color w:val="1F2D3D"/>
          <w:sz w:val="20"/>
          <w:szCs w:val="20"/>
        </w:rPr>
        <w:t xml:space="preserve">KYC status tracking: New / Compliant / Under Review / Expired — auto-alert 30 days before expiry</w:t>
      </w:r>
    </w:p>
    <w:p>
      <w:pPr>
        <w:pStyle w:val="ListParagraph"/>
        <w:numPr>
          <w:ilvl w:val="0"/>
          <w:numId w:val="2"/>
        </w:numPr>
        <w:spacing w:before="60" w:after="60"/>
      </w:pPr>
      <w:r>
        <w:rPr>
          <w:rFonts w:ascii="Arial" w:cs="Arial" w:eastAsia="Arial" w:hAnsi="Arial"/>
          <w:color w:val="1F2D3D"/>
          <w:sz w:val="20"/>
          <w:szCs w:val="20"/>
        </w:rPr>
        <w:t xml:space="preserve">AML screening: Integration with ComplyAdvantage or LexisNexis for PEP, Sanctions, Adverse Media checks</w:t>
      </w:r>
    </w:p>
    <w:p>
      <w:pPr>
        <w:pStyle w:val="ListParagraph"/>
        <w:numPr>
          <w:ilvl w:val="0"/>
          <w:numId w:val="2"/>
        </w:numPr>
        <w:spacing w:before="60" w:after="60"/>
      </w:pPr>
      <w:r>
        <w:rPr>
          <w:rFonts w:ascii="Arial" w:cs="Arial" w:eastAsia="Arial" w:hAnsi="Arial"/>
          <w:color w:val="1F2D3D"/>
          <w:sz w:val="20"/>
          <w:szCs w:val="20"/>
        </w:rPr>
        <w:t xml:space="preserve">STR (Suspicious Transaction Report) workflow: Compliance team creates draft → MLRO review → FIU submission</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15.3 Audit Trail</w:t>
      </w:r>
    </w:p>
    <w:p>
      <w:pPr>
        <w:pStyle w:val="ListParagraph"/>
        <w:numPr>
          <w:ilvl w:val="0"/>
          <w:numId w:val="2"/>
        </w:numPr>
        <w:spacing w:before="60" w:after="60"/>
      </w:pPr>
      <w:r>
        <w:rPr>
          <w:rFonts w:ascii="Arial" w:cs="Arial" w:eastAsia="Arial" w:hAnsi="Arial"/>
          <w:color w:val="1F2D3D"/>
          <w:sz w:val="20"/>
          <w:szCs w:val="20"/>
        </w:rPr>
        <w:t xml:space="preserve">Immutable audit log: All CRM actions (create/update/delete/view/export/share) logged to append-only audit table in PostgreSQL</w:t>
      </w:r>
    </w:p>
    <w:p>
      <w:pPr>
        <w:pStyle w:val="ListParagraph"/>
        <w:numPr>
          <w:ilvl w:val="0"/>
          <w:numId w:val="2"/>
        </w:numPr>
        <w:spacing w:before="60" w:after="60"/>
      </w:pPr>
      <w:r>
        <w:rPr>
          <w:rFonts w:ascii="Arial" w:cs="Arial" w:eastAsia="Arial" w:hAnsi="Arial"/>
          <w:color w:val="1F2D3D"/>
          <w:sz w:val="20"/>
          <w:szCs w:val="20"/>
        </w:rPr>
        <w:t xml:space="preserve">Audit log fields: User ID, role, action, entity type, entity ID, old value, new value, timestamp, IP address</w:t>
      </w:r>
    </w:p>
    <w:p>
      <w:pPr>
        <w:pStyle w:val="ListParagraph"/>
        <w:numPr>
          <w:ilvl w:val="0"/>
          <w:numId w:val="2"/>
        </w:numPr>
        <w:spacing w:before="60" w:after="60"/>
      </w:pPr>
      <w:r>
        <w:rPr>
          <w:rFonts w:ascii="Arial" w:cs="Arial" w:eastAsia="Arial" w:hAnsi="Arial"/>
          <w:color w:val="1F2D3D"/>
          <w:sz w:val="20"/>
          <w:szCs w:val="20"/>
        </w:rPr>
        <w:t xml:space="preserve">Audit export: Compliance officers can export audit logs by date range, user, or entity to CSV/PDF</w:t>
      </w:r>
    </w:p>
    <w:p>
      <w:pPr>
        <w:pStyle w:val="ListParagraph"/>
        <w:numPr>
          <w:ilvl w:val="0"/>
          <w:numId w:val="2"/>
        </w:numPr>
        <w:spacing w:before="60" w:after="60"/>
      </w:pPr>
      <w:r>
        <w:rPr>
          <w:rFonts w:ascii="Arial" w:cs="Arial" w:eastAsia="Arial" w:hAnsi="Arial"/>
          <w:color w:val="1F2D3D"/>
          <w:sz w:val="20"/>
          <w:szCs w:val="20"/>
        </w:rPr>
        <w:t xml:space="preserve">SIEM integration: Audit events streamed to security monitoring system via AWS CloudWatch</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15.4 SEBI / Regulatory Filings</w:t>
      </w:r>
    </w:p>
    <w:p>
      <w:pPr>
        <w:pStyle w:val="ListParagraph"/>
        <w:numPr>
          <w:ilvl w:val="0"/>
          <w:numId w:val="2"/>
        </w:numPr>
        <w:spacing w:before="60" w:after="60"/>
      </w:pPr>
      <w:r>
        <w:rPr>
          <w:rFonts w:ascii="Arial" w:cs="Arial" w:eastAsia="Arial" w:hAnsi="Arial"/>
          <w:color w:val="1F2D3D"/>
          <w:sz w:val="20"/>
          <w:szCs w:val="20"/>
        </w:rPr>
        <w:t xml:space="preserve">SCORES complaint integration: Retail grievances linked to SEBI SCORES portal with reference number tracking</w:t>
      </w:r>
    </w:p>
    <w:p>
      <w:pPr>
        <w:pStyle w:val="ListParagraph"/>
        <w:numPr>
          <w:ilvl w:val="0"/>
          <w:numId w:val="2"/>
        </w:numPr>
        <w:spacing w:before="60" w:after="60"/>
      </w:pPr>
      <w:r>
        <w:rPr>
          <w:rFonts w:ascii="Arial" w:cs="Arial" w:eastAsia="Arial" w:hAnsi="Arial"/>
          <w:color w:val="1F2D3D"/>
          <w:sz w:val="20"/>
          <w:szCs w:val="20"/>
        </w:rPr>
        <w:t xml:space="preserve">AIF SEBI reporting: Auto-compile quarterly investor data (Form A, B) from CRM and fund accounting</w:t>
      </w:r>
    </w:p>
    <w:p>
      <w:pPr>
        <w:pStyle w:val="ListParagraph"/>
        <w:numPr>
          <w:ilvl w:val="0"/>
          <w:numId w:val="2"/>
        </w:numPr>
        <w:spacing w:before="60" w:after="60"/>
      </w:pPr>
      <w:r>
        <w:rPr>
          <w:rFonts w:ascii="Arial" w:cs="Arial" w:eastAsia="Arial" w:hAnsi="Arial"/>
          <w:color w:val="1F2D3D"/>
          <w:sz w:val="20"/>
          <w:szCs w:val="20"/>
        </w:rPr>
        <w:t xml:space="preserve">IB regulatory calendar: SEBI filing deadlines auto-populated with alerts 10/5/1 day prior</w:t>
      </w:r>
    </w:p>
    <w:p>
      <w:pPr>
        <w:spacing w:before="60" w:after="60"/>
      </w:pPr>
      <w:r>
        <w:t xml:space="preserve"/>
      </w:r>
    </w:p>
    <w:p>
      <w:pPr>
        <w:pStyle w:val="Heading1"/>
        <w:pageBreakBefore/>
        <w:spacing w:before="360" w:after="180"/>
      </w:pPr>
      <w:r>
        <w:rPr>
          <w:rFonts w:ascii="Arial" w:cs="Arial" w:eastAsia="Arial" w:hAnsi="Arial"/>
          <w:b/>
          <w:bCs/>
          <w:color w:val="1B3A6B"/>
          <w:sz w:val="36"/>
          <w:szCs w:val="36"/>
        </w:rPr>
        <w:t xml:space="preserve">16. Analytics &amp; Reporting Dashboards</w:t>
      </w:r>
    </w:p>
    <w:p>
      <w:pPr>
        <w:pStyle w:val="Heading2"/>
        <w:pBdr>
          <w:bottom w:val="single" w:color="2E75B6" w:sz="4" w:space="4"/>
        </w:pBdr>
        <w:spacing w:before="280" w:after="140"/>
      </w:pPr>
      <w:r>
        <w:rPr>
          <w:rFonts w:ascii="Arial" w:cs="Arial" w:eastAsia="Arial" w:hAnsi="Arial"/>
          <w:b/>
          <w:bCs/>
          <w:color w:val="2E75B6"/>
          <w:sz w:val="28"/>
          <w:szCs w:val="28"/>
        </w:rPr>
        <w:t xml:space="preserve">16.1 Executive Dashboard</w:t>
      </w:r>
    </w:p>
    <w:p>
      <w:pPr>
        <w:spacing w:before="80" w:after="80"/>
      </w:pPr>
      <w:r>
        <w:rPr>
          <w:rFonts w:ascii="Arial" w:cs="Arial" w:eastAsia="Arial" w:hAnsi="Arial"/>
          <w:color w:val="1F2D3D"/>
          <w:sz w:val="20"/>
          <w:szCs w:val="20"/>
        </w:rPr>
        <w:t xml:space="preserve">Role: Senior Management / Business Heads. Technology: React.js + Recharts / D3.js, data from PostgreSQL read replica.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Widget</w:t>
            </w:r>
          </w:p>
        </w:tc>
        <w:tc>
          <w:tcPr>
            <w:tcW w:type="dxa" w:w="22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Visualization Type</w:t>
            </w:r>
          </w:p>
        </w:tc>
        <w:tc>
          <w:tcPr>
            <w:tcW w:type="dxa" w:w="39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Data Source</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Total AUM across business lines</w:t>
            </w:r>
          </w:p>
        </w:tc>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KPI cards + trend line</w:t>
            </w:r>
          </w:p>
        </w:tc>
        <w:tc>
          <w:tcPr>
            <w:tcW w:type="dxa" w:w="39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Client profiles + fund data</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Revenue MTD / YTD by business</w:t>
            </w:r>
          </w:p>
        </w:tc>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Grouped bar chart</w:t>
            </w:r>
          </w:p>
        </w:tc>
        <w:tc>
          <w:tcPr>
            <w:tcW w:type="dxa" w:w="39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Deal closure + brokerage data</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Pipeline value by business line</w:t>
            </w:r>
          </w:p>
        </w:tc>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Funnel chart</w:t>
            </w:r>
          </w:p>
        </w:tc>
        <w:tc>
          <w:tcPr>
            <w:tcW w:type="dxa" w:w="39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Deal/Lead pipeline</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New clients onboarded (MTD/YTD)</w:t>
            </w:r>
          </w:p>
        </w:tc>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KPI + sparkline</w:t>
            </w:r>
          </w:p>
        </w:tc>
        <w:tc>
          <w:tcPr>
            <w:tcW w:type="dxa" w:w="39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Client onboarding records</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CS resolution SLA compliance</w:t>
            </w:r>
          </w:p>
        </w:tc>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Gauge chart</w:t>
            </w:r>
          </w:p>
        </w:tc>
        <w:tc>
          <w:tcPr>
            <w:tcW w:type="dxa" w:w="39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SR SLA tracking</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Top 10 RMs by revenue</w:t>
            </w:r>
          </w:p>
        </w:tc>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Horizontal bar chart</w:t>
            </w:r>
          </w:p>
        </w:tc>
        <w:tc>
          <w:tcPr>
            <w:tcW w:type="dxa" w:w="39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Revenue attribution</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Compliance alerts open</w:t>
            </w:r>
          </w:p>
        </w:tc>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Alert count + list</w:t>
            </w:r>
          </w:p>
        </w:tc>
        <w:tc>
          <w:tcPr>
            <w:tcW w:type="dxa" w:w="39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Compliance event log</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Geographic heat map</w:t>
            </w:r>
          </w:p>
        </w:tc>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India map by state</w:t>
            </w:r>
          </w:p>
        </w:tc>
        <w:tc>
          <w:tcPr>
            <w:tcW w:type="dxa" w:w="39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Client and deal geolocation</w:t>
            </w:r>
          </w:p>
        </w:tc>
      </w:tr>
    </w:tbl>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16.2 Business Line Dashboards</w:t>
      </w:r>
    </w:p>
    <w:p>
      <w:pPr>
        <w:pStyle w:val="ListParagraph"/>
        <w:numPr>
          <w:ilvl w:val="0"/>
          <w:numId w:val="2"/>
        </w:numPr>
        <w:spacing w:before="60" w:after="60"/>
      </w:pPr>
      <w:r>
        <w:rPr>
          <w:rFonts w:ascii="Arial" w:cs="Arial" w:eastAsia="Arial" w:hAnsi="Arial"/>
          <w:color w:val="1F2D3D"/>
          <w:sz w:val="20"/>
          <w:szCs w:val="20"/>
        </w:rPr>
        <w:t xml:space="preserve">Each business line has a dedicated dashboard accessible by business head and team</w:t>
      </w:r>
    </w:p>
    <w:p>
      <w:pPr>
        <w:pStyle w:val="ListParagraph"/>
        <w:numPr>
          <w:ilvl w:val="0"/>
          <w:numId w:val="2"/>
        </w:numPr>
        <w:spacing w:before="60" w:after="60"/>
      </w:pPr>
      <w:r>
        <w:rPr>
          <w:rFonts w:ascii="Arial" w:cs="Arial" w:eastAsia="Arial" w:hAnsi="Arial"/>
          <w:color w:val="1F2D3D"/>
          <w:sz w:val="20"/>
          <w:szCs w:val="20"/>
        </w:rPr>
        <w:t xml:space="preserve">Retail Broking: Lead funnel, conversion rates, RM scorecards, dormant accounts, brokerage revenue</w:t>
      </w:r>
    </w:p>
    <w:p>
      <w:pPr>
        <w:pStyle w:val="ListParagraph"/>
        <w:numPr>
          <w:ilvl w:val="0"/>
          <w:numId w:val="2"/>
        </w:numPr>
        <w:spacing w:before="60" w:after="60"/>
      </w:pPr>
      <w:r>
        <w:rPr>
          <w:rFonts w:ascii="Arial" w:cs="Arial" w:eastAsia="Arial" w:hAnsi="Arial"/>
          <w:color w:val="1F2D3D"/>
          <w:sz w:val="20"/>
          <w:szCs w:val="20"/>
        </w:rPr>
        <w:t xml:space="preserve">Investment Banking: Deal pipeline, pitch win rates, league tables, mandate aging, compliance alerts</w:t>
      </w:r>
    </w:p>
    <w:p>
      <w:pPr>
        <w:pStyle w:val="ListParagraph"/>
        <w:numPr>
          <w:ilvl w:val="0"/>
          <w:numId w:val="2"/>
        </w:numPr>
        <w:spacing w:before="60" w:after="60"/>
      </w:pPr>
      <w:r>
        <w:rPr>
          <w:rFonts w:ascii="Arial" w:cs="Arial" w:eastAsia="Arial" w:hAnsi="Arial"/>
          <w:color w:val="1F2D3D"/>
          <w:sz w:val="20"/>
          <w:szCs w:val="20"/>
        </w:rPr>
        <w:t xml:space="preserve">Institutional Equities: Wallet share map, vote rankings, research distribution, MiFID II compliance</w:t>
      </w:r>
    </w:p>
    <w:p>
      <w:pPr>
        <w:pStyle w:val="ListParagraph"/>
        <w:numPr>
          <w:ilvl w:val="0"/>
          <w:numId w:val="2"/>
        </w:numPr>
        <w:spacing w:before="60" w:after="60"/>
      </w:pPr>
      <w:r>
        <w:rPr>
          <w:rFonts w:ascii="Arial" w:cs="Arial" w:eastAsia="Arial" w:hAnsi="Arial"/>
          <w:color w:val="1F2D3D"/>
          <w:sz w:val="20"/>
          <w:szCs w:val="20"/>
        </w:rPr>
        <w:t xml:space="preserve">AIF: Fund AUM, capital calls, NAV trend, investor pipeline, SEBI compliance calendar</w:t>
      </w:r>
    </w:p>
    <w:p>
      <w:pPr>
        <w:pStyle w:val="ListParagraph"/>
        <w:numPr>
          <w:ilvl w:val="0"/>
          <w:numId w:val="2"/>
        </w:numPr>
        <w:spacing w:before="60" w:after="60"/>
      </w:pPr>
      <w:r>
        <w:rPr>
          <w:rFonts w:ascii="Arial" w:cs="Arial" w:eastAsia="Arial" w:hAnsi="Arial"/>
          <w:color w:val="1F2D3D"/>
          <w:sz w:val="20"/>
          <w:szCs w:val="20"/>
        </w:rPr>
        <w:t xml:space="preserve">Corporate Broking: Empanelled corporates, turnover, credit utilization, dealer performance</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16.3 CS &amp; SR Analytics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Widget</w:t>
            </w:r>
          </w:p>
        </w:tc>
        <w:tc>
          <w:tcPr>
            <w:tcW w:type="dxa" w:w="61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Metric</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Volume by Channel</w:t>
            </w:r>
          </w:p>
        </w:tc>
        <w:tc>
          <w:tcPr>
            <w:tcW w:type="dxa" w:w="6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Tickets by call / email / chat / WhatsApp / portal — pie chart</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SLA Compliance</w:t>
            </w:r>
          </w:p>
        </w:tc>
        <w:tc>
          <w:tcPr>
            <w:tcW w:type="dxa" w:w="6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 SRs resolved within SLA by business line and category</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CSAT Score</w:t>
            </w:r>
          </w:p>
        </w:tc>
        <w:tc>
          <w:tcPr>
            <w:tcW w:type="dxa" w:w="6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Average satisfaction score by business line and agent</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AHT (Avg Handle Time)</w:t>
            </w:r>
          </w:p>
        </w:tc>
        <w:tc>
          <w:tcPr>
            <w:tcW w:type="dxa" w:w="6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Average handle time by channel and business line</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First Call Resolution</w:t>
            </w:r>
          </w:p>
        </w:tc>
        <w:tc>
          <w:tcPr>
            <w:tcW w:type="dxa" w:w="6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 issues resolved without escalation or repeat contact</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Open SR Aging</w:t>
            </w:r>
          </w:p>
        </w:tc>
        <w:tc>
          <w:tcPr>
            <w:tcW w:type="dxa" w:w="6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Bucket analysis: 0-24hr, 1-3 days, 3-7 days, 7+ days</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Escalation Rate</w:t>
            </w:r>
          </w:p>
        </w:tc>
        <w:tc>
          <w:tcPr>
            <w:tcW w:type="dxa" w:w="6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 SRs escalated by category and business line</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Agent Leaderboard</w:t>
            </w:r>
          </w:p>
        </w:tc>
        <w:tc>
          <w:tcPr>
            <w:tcW w:type="dxa" w:w="6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SRs resolved, CSAT, AHT ranked per agent</w:t>
            </w:r>
          </w:p>
        </w:tc>
      </w:tr>
    </w:tbl>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16.4 Report Builder</w:t>
      </w:r>
    </w:p>
    <w:p>
      <w:pPr>
        <w:pStyle w:val="ListParagraph"/>
        <w:numPr>
          <w:ilvl w:val="0"/>
          <w:numId w:val="2"/>
        </w:numPr>
        <w:spacing w:before="60" w:after="60"/>
      </w:pPr>
      <w:r>
        <w:rPr>
          <w:rFonts w:ascii="Arial" w:cs="Arial" w:eastAsia="Arial" w:hAnsi="Arial"/>
          <w:color w:val="1F2D3D"/>
          <w:sz w:val="20"/>
          <w:szCs w:val="20"/>
        </w:rPr>
        <w:t xml:space="preserve">Self-service report builder: RM/Analyst can select dimensions, metrics, date ranges, and filters</w:t>
      </w:r>
    </w:p>
    <w:p>
      <w:pPr>
        <w:pStyle w:val="ListParagraph"/>
        <w:numPr>
          <w:ilvl w:val="0"/>
          <w:numId w:val="2"/>
        </w:numPr>
        <w:spacing w:before="60" w:after="60"/>
      </w:pPr>
      <w:r>
        <w:rPr>
          <w:rFonts w:ascii="Arial" w:cs="Arial" w:eastAsia="Arial" w:hAnsi="Arial"/>
          <w:color w:val="1F2D3D"/>
          <w:sz w:val="20"/>
          <w:szCs w:val="20"/>
        </w:rPr>
        <w:t xml:space="preserve">Export formats: CSV, Excel (XLSX), PDF — generated via Node.js with AWS S3 temp storage</w:t>
      </w:r>
    </w:p>
    <w:p>
      <w:pPr>
        <w:pStyle w:val="ListParagraph"/>
        <w:numPr>
          <w:ilvl w:val="0"/>
          <w:numId w:val="2"/>
        </w:numPr>
        <w:spacing w:before="60" w:after="60"/>
      </w:pPr>
      <w:r>
        <w:rPr>
          <w:rFonts w:ascii="Arial" w:cs="Arial" w:eastAsia="Arial" w:hAnsi="Arial"/>
          <w:color w:val="1F2D3D"/>
          <w:sz w:val="20"/>
          <w:szCs w:val="20"/>
        </w:rPr>
        <w:t xml:space="preserve">Scheduled reports: Email delivery at configured frequency (daily/weekly/monthly) via AWS SES</w:t>
      </w:r>
    </w:p>
    <w:p>
      <w:pPr>
        <w:pStyle w:val="ListParagraph"/>
        <w:numPr>
          <w:ilvl w:val="0"/>
          <w:numId w:val="2"/>
        </w:numPr>
        <w:spacing w:before="60" w:after="60"/>
      </w:pPr>
      <w:r>
        <w:rPr>
          <w:rFonts w:ascii="Arial" w:cs="Arial" w:eastAsia="Arial" w:hAnsi="Arial"/>
          <w:color w:val="1F2D3D"/>
          <w:sz w:val="20"/>
          <w:szCs w:val="20"/>
        </w:rPr>
        <w:t xml:space="preserve">Report templates: Pre-built templates for SEBI reporting, management MIS, client performance</w:t>
      </w:r>
    </w:p>
    <w:p>
      <w:pPr>
        <w:spacing w:before="60" w:after="60"/>
      </w:pPr>
      <w:r>
        <w:t xml:space="preserve"/>
      </w:r>
    </w:p>
    <w:p>
      <w:pPr>
        <w:pStyle w:val="Heading1"/>
        <w:pageBreakBefore/>
        <w:spacing w:before="360" w:after="180"/>
      </w:pPr>
      <w:r>
        <w:rPr>
          <w:rFonts w:ascii="Arial" w:cs="Arial" w:eastAsia="Arial" w:hAnsi="Arial"/>
          <w:b/>
          <w:bCs/>
          <w:color w:val="1B3A6B"/>
          <w:sz w:val="36"/>
          <w:szCs w:val="36"/>
        </w:rPr>
        <w:t xml:space="preserve">17.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560"/>
      </w:tblGrid>
      <w:tr>
        <w:trPr>
          <w:tblHeader/>
        </w:trPr>
        <w:tc>
          <w:tcPr>
            <w:tcW w:type="dxa" w:w="22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System</w:t>
            </w:r>
          </w:p>
        </w:tc>
        <w:tc>
          <w:tcPr>
            <w:tcW w:type="dxa" w:w="22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Integration Type</w:t>
            </w:r>
          </w:p>
        </w:tc>
        <w:tc>
          <w:tcPr>
            <w:tcW w:type="dxa" w:w="14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Direction</w:t>
            </w:r>
          </w:p>
        </w:tc>
        <w:tc>
          <w:tcPr>
            <w:tcW w:type="dxa" w:w="35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Purpose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Bloomberg Terminal</w:t>
            </w:r>
          </w:p>
        </w:tc>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Bloomberg DAPI / BPIPE</w:t>
            </w:r>
          </w:p>
        </w:tc>
        <w:tc>
          <w:tcPr>
            <w:tcW w:type="dxa" w:w="1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Bi-directional</w:t>
            </w:r>
          </w:p>
        </w:tc>
        <w:tc>
          <w:tcPr>
            <w:tcW w:type="dxa" w:w="35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Contact sync, message capture, market data enrichment</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Refinitiv (LSEG)</w:t>
            </w:r>
          </w:p>
        </w:tc>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Refinitiv API</w:t>
            </w:r>
          </w:p>
        </w:tc>
        <w:tc>
          <w:tcPr>
            <w:tcW w:type="dxa" w:w="1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Inbound</w:t>
            </w:r>
          </w:p>
        </w:tc>
        <w:tc>
          <w:tcPr>
            <w:tcW w:type="dxa" w:w="35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Company profiles, ownership data, news alerts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Microsoft 365 / Outlook</w:t>
            </w:r>
          </w:p>
        </w:tc>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Microsoft Graph API</w:t>
            </w:r>
          </w:p>
        </w:tc>
        <w:tc>
          <w:tcPr>
            <w:tcW w:type="dxa" w:w="1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Bi-directional</w:t>
            </w:r>
          </w:p>
        </w:tc>
        <w:tc>
          <w:tcPr>
            <w:tcW w:type="dxa" w:w="35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Email auto-capture, calendar sync, contact sync</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OMS / EMS</w:t>
            </w:r>
          </w:p>
        </w:tc>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FIX Protocol / REST API</w:t>
            </w:r>
          </w:p>
        </w:tc>
        <w:tc>
          <w:tcPr>
            <w:tcW w:type="dxa" w:w="1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Inbound</w:t>
            </w:r>
          </w:p>
        </w:tc>
        <w:tc>
          <w:tcPr>
            <w:tcW w:type="dxa" w:w="35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Trade data for wallet share and revenue attribution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UIDAI (Aadhaar)</w:t>
            </w:r>
          </w:p>
        </w:tc>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UIDAI eKYC API</w:t>
            </w:r>
          </w:p>
        </w:tc>
        <w:tc>
          <w:tcPr>
            <w:tcW w:type="dxa" w:w="1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Outbound</w:t>
            </w:r>
          </w:p>
        </w:tc>
        <w:tc>
          <w:tcPr>
            <w:tcW w:type="dxa" w:w="35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Aadhaar OTP eKYC for retail account opening</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NSDL / CKYC</w:t>
            </w:r>
          </w:p>
        </w:tc>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REST API</w:t>
            </w:r>
          </w:p>
        </w:tc>
        <w:tc>
          <w:tcPr>
            <w:tcW w:type="dxa" w:w="1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Bi-directional</w:t>
            </w:r>
          </w:p>
        </w:tc>
        <w:tc>
          <w:tcPr>
            <w:tcW w:type="dxa" w:w="35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PAN validation, CKYC fetch and update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DocuSign / eSign</w:t>
            </w:r>
          </w:p>
        </w:tc>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DocuSign REST API</w:t>
            </w:r>
          </w:p>
        </w:tc>
        <w:tc>
          <w:tcPr>
            <w:tcW w:type="dxa" w:w="1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Bi-directional</w:t>
            </w:r>
          </w:p>
        </w:tc>
        <w:tc>
          <w:tcPr>
            <w:tcW w:type="dxa" w:w="35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Digital signature for agreements and forms</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Back-Office / Billing</w:t>
            </w:r>
          </w:p>
        </w:tc>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REST API</w:t>
            </w:r>
          </w:p>
        </w:tc>
        <w:tc>
          <w:tcPr>
            <w:tcW w:type="dxa" w:w="1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Bi-directional</w:t>
            </w:r>
          </w:p>
        </w:tc>
        <w:tc>
          <w:tcPr>
            <w:tcW w:type="dxa" w:w="35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Fee invoicing, account status, position data</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ComplyAdvantage</w:t>
            </w:r>
          </w:p>
        </w:tc>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REST API</w:t>
            </w:r>
          </w:p>
        </w:tc>
        <w:tc>
          <w:tcPr>
            <w:tcW w:type="dxa" w:w="1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Outbound</w:t>
            </w:r>
          </w:p>
        </w:tc>
        <w:tc>
          <w:tcPr>
            <w:tcW w:type="dxa" w:w="35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AML / Sanctions / PEP screening</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SEBI SCORES</w:t>
            </w:r>
          </w:p>
        </w:tc>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SCORES Portal API</w:t>
            </w:r>
          </w:p>
        </w:tc>
        <w:tc>
          <w:tcPr>
            <w:tcW w:type="dxa" w:w="1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Bi-directional</w:t>
            </w:r>
          </w:p>
        </w:tc>
        <w:tc>
          <w:tcPr>
            <w:tcW w:type="dxa" w:w="35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Grievance registration and status tracking</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WhatsApp Business</w:t>
            </w:r>
          </w:p>
        </w:tc>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WhatsApp Cloud API</w:t>
            </w:r>
          </w:p>
        </w:tc>
        <w:tc>
          <w:tcPr>
            <w:tcW w:type="dxa" w:w="1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Bi-directional</w:t>
            </w:r>
          </w:p>
        </w:tc>
        <w:tc>
          <w:tcPr>
            <w:tcW w:type="dxa" w:w="35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CS chat, notifications, document sharing</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CTI / Telephony</w:t>
            </w:r>
          </w:p>
        </w:tc>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CTI Adapter (Exotel / Genesys)</w:t>
            </w:r>
          </w:p>
        </w:tc>
        <w:tc>
          <w:tcPr>
            <w:tcW w:type="dxa" w:w="1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Bi-directional</w:t>
            </w:r>
          </w:p>
        </w:tc>
        <w:tc>
          <w:tcPr>
            <w:tcW w:type="dxa" w:w="35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Call pop, recording, wrap-up, agent state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LexisNexis / Bureau</w:t>
            </w:r>
          </w:p>
        </w:tc>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REST API</w:t>
            </w:r>
          </w:p>
        </w:tc>
        <w:tc>
          <w:tcPr>
            <w:tcW w:type="dxa" w:w="1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Outbound</w:t>
            </w:r>
          </w:p>
        </w:tc>
        <w:tc>
          <w:tcPr>
            <w:tcW w:type="dxa" w:w="35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Credit bureau checks, identity verification</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AWS Cognito</w:t>
            </w:r>
          </w:p>
        </w:tc>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Cognito SDK / SAML</w:t>
            </w:r>
          </w:p>
        </w:tc>
        <w:tc>
          <w:tcPr>
            <w:tcW w:type="dxa" w:w="1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Internal</w:t>
            </w:r>
          </w:p>
        </w:tc>
        <w:tc>
          <w:tcPr>
            <w:tcW w:type="dxa" w:w="35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Authentication, MFA, session management</w:t>
            </w:r>
          </w:p>
        </w:tc>
      </w:tr>
    </w:tbl>
    <w:p>
      <w:pPr>
        <w:spacing w:before="60" w:after="60"/>
      </w:pPr>
      <w:r>
        <w:t xml:space="preserve"/>
      </w:r>
    </w:p>
    <w:p>
      <w:pPr>
        <w:pStyle w:val="Heading1"/>
        <w:pageBreakBefore/>
        <w:spacing w:before="360" w:after="180"/>
      </w:pPr>
      <w:r>
        <w:rPr>
          <w:rFonts w:ascii="Arial" w:cs="Arial" w:eastAsia="Arial" w:hAnsi="Arial"/>
          <w:b/>
          <w:bCs/>
          <w:color w:val="1B3A6B"/>
          <w:sz w:val="36"/>
          <w:szCs w:val="36"/>
        </w:rPr>
        <w:t xml:space="preserve">18.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Category</w:t>
            </w:r>
          </w:p>
        </w:tc>
        <w:tc>
          <w:tcPr>
            <w:tcW w:type="dxa" w:w="32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Requirement</w:t>
            </w:r>
          </w:p>
        </w:tc>
        <w:tc>
          <w:tcPr>
            <w:tcW w:type="dxa" w:w="41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Target</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Performance</w:t>
            </w:r>
          </w:p>
        </w:tc>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API response time (p95)</w:t>
            </w:r>
          </w:p>
        </w:tc>
        <w:tc>
          <w:tcPr>
            <w:tcW w:type="dxa" w:w="4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&lt; 500ms for standard queries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Performance</w:t>
            </w:r>
          </w:p>
        </w:tc>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Dashboard load time</w:t>
            </w:r>
          </w:p>
        </w:tc>
        <w:tc>
          <w:tcPr>
            <w:tcW w:type="dxa" w:w="4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&lt; 3 seconds on 10Mbps connection</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Scalability</w:t>
            </w:r>
          </w:p>
        </w:tc>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Concurrent users</w:t>
            </w:r>
          </w:p>
        </w:tc>
        <w:tc>
          <w:tcPr>
            <w:tcW w:type="dxa" w:w="4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Support 5,000 concurrent users at launch; 20,000 at peak</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Availability</w:t>
            </w:r>
          </w:p>
        </w:tc>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System uptime SLA</w:t>
            </w:r>
          </w:p>
        </w:tc>
        <w:tc>
          <w:tcPr>
            <w:tcW w:type="dxa" w:w="4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99.9% uptime (excluding planned maintenance)</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Disaster Recovery</w:t>
            </w:r>
          </w:p>
        </w:tc>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RTO (Recovery Time Objective)</w:t>
            </w:r>
          </w:p>
        </w:tc>
        <w:tc>
          <w:tcPr>
            <w:tcW w:type="dxa" w:w="4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&lt; 4 hours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Disaster Recovery</w:t>
            </w:r>
          </w:p>
        </w:tc>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RPO (Recovery Point Objective)</w:t>
            </w:r>
          </w:p>
        </w:tc>
        <w:tc>
          <w:tcPr>
            <w:tcW w:type="dxa" w:w="4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&lt; 1 hour (AWS RDS multi-AZ + S3 cross-region replication)</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Security</w:t>
            </w:r>
          </w:p>
        </w:tc>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Data encryption</w:t>
            </w:r>
          </w:p>
        </w:tc>
        <w:tc>
          <w:tcPr>
            <w:tcW w:type="dxa" w:w="4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AES-256 at rest; TLS 1.3 in transit</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Security</w:t>
            </w:r>
          </w:p>
        </w:tc>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Penetration testing</w:t>
            </w:r>
          </w:p>
        </w:tc>
        <w:tc>
          <w:tcPr>
            <w:tcW w:type="dxa" w:w="4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Annual third-party pen test + quarterly vulnerability scan</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Compliance</w:t>
            </w:r>
          </w:p>
        </w:tc>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GDPR / DPDPA readiness</w:t>
            </w:r>
          </w:p>
        </w:tc>
        <w:tc>
          <w:tcPr>
            <w:tcW w:type="dxa" w:w="4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Data residency in India; right to erasure workflow</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Audit</w:t>
            </w:r>
          </w:p>
        </w:tc>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Audit log retention</w:t>
            </w:r>
          </w:p>
        </w:tc>
        <w:tc>
          <w:tcPr>
            <w:tcW w:type="dxa" w:w="4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7 years; append-only; tamper-evident</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Browser Support</w:t>
            </w:r>
          </w:p>
        </w:tc>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Frontend compatibility</w:t>
            </w:r>
          </w:p>
        </w:tc>
        <w:tc>
          <w:tcPr>
            <w:tcW w:type="dxa" w:w="4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Chrome 90+, Firefox 88+, Edge 90+, Safari 14+</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Mobile</w:t>
            </w:r>
          </w:p>
        </w:tc>
        <w:tc>
          <w:tcPr>
            <w:tcW w:type="dxa" w:w="3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Responsive design</w:t>
            </w:r>
          </w:p>
        </w:tc>
        <w:tc>
          <w:tcPr>
            <w:tcW w:type="dxa" w:w="4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Full functionality on tablet; read-only on mobile phone</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Accessibility</w:t>
            </w:r>
          </w:p>
        </w:tc>
        <w:tc>
          <w:tcPr>
            <w:tcW w:type="dxa" w:w="3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WCAG 2.1 Level AA</w:t>
            </w:r>
          </w:p>
        </w:tc>
        <w:tc>
          <w:tcPr>
            <w:tcW w:type="dxa" w:w="4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Keyboard navigation, screen reader support</w:t>
            </w:r>
          </w:p>
        </w:tc>
      </w:tr>
    </w:tbl>
    <w:p>
      <w:pPr>
        <w:spacing w:before="60" w:after="60"/>
      </w:pPr>
      <w:r>
        <w:t xml:space="preserve"/>
      </w:r>
    </w:p>
    <w:p>
      <w:pPr>
        <w:pStyle w:val="Heading1"/>
        <w:pageBreakBefore/>
        <w:spacing w:before="360" w:after="180"/>
      </w:pPr>
      <w:r>
        <w:rPr>
          <w:rFonts w:ascii="Arial" w:cs="Arial" w:eastAsia="Arial" w:hAnsi="Arial"/>
          <w:b/>
          <w:bCs/>
          <w:color w:val="1B3A6B"/>
          <w:sz w:val="36"/>
          <w:szCs w:val="36"/>
        </w:rPr>
        <w:t xml:space="preserve">19.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00"/>
        <w:gridCol w:w="3160"/>
      </w:tblGrid>
      <w:tr>
        <w:trPr>
          <w:tblHeader/>
        </w:trPr>
        <w:tc>
          <w:tcPr>
            <w:tcW w:type="dxa" w:w="18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Phase</w:t>
            </w:r>
          </w:p>
        </w:tc>
        <w:tc>
          <w:tcPr>
            <w:tcW w:type="dxa" w:w="14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Duration</w:t>
            </w:r>
          </w:p>
        </w:tc>
        <w:tc>
          <w:tcPr>
            <w:tcW w:type="dxa" w:w="30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Scope</w:t>
            </w:r>
          </w:p>
        </w:tc>
        <w:tc>
          <w:tcPr>
            <w:tcW w:type="dxa" w:w="31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Key Deliverables</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Phase 1 – Foundation</w:t>
            </w:r>
          </w:p>
        </w:tc>
        <w:tc>
          <w:tcPr>
            <w:tcW w:type="dxa" w:w="1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Months 1-3</w:t>
            </w:r>
          </w:p>
        </w:tc>
        <w:tc>
          <w:tcPr>
            <w:tcW w:type="dxa" w:w="3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Infra setup, Auth, Core CRM, User Mgmt</w:t>
            </w:r>
          </w:p>
        </w:tc>
        <w:tc>
          <w:tcPr>
            <w:tcW w:type="dxa" w:w="3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AWS env, Auth (M365+OTP+MFA), Client 360, RBAC, DMS skeleton</w:t>
            </w:r>
          </w:p>
        </w:tc>
      </w:tr>
      <w:tr>
        <w:tc>
          <w:tcPr>
            <w:tcW w:type="dxa" w:w="18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Phase 2 – Retail &amp; CS</w:t>
            </w:r>
          </w:p>
        </w:tc>
        <w:tc>
          <w:tcPr>
            <w:tcW w:type="dxa" w:w="1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Months 4-6</w:t>
            </w:r>
          </w:p>
        </w:tc>
        <w:tc>
          <w:tcPr>
            <w:tcW w:type="dxa" w:w="3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Retail Broking module, CS Module (all channels)</w:t>
            </w:r>
          </w:p>
        </w:tc>
        <w:tc>
          <w:tcPr>
            <w:tcW w:type="dxa" w:w="3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Full retail lead-to-closure, CS omni-channel, SR module (Retail)</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Phase 3 – IB &amp; Corporate</w:t>
            </w:r>
          </w:p>
        </w:tc>
        <w:tc>
          <w:tcPr>
            <w:tcW w:type="dxa" w:w="1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Months 7-9</w:t>
            </w:r>
          </w:p>
        </w:tc>
        <w:tc>
          <w:tcPr>
            <w:tcW w:type="dxa" w:w="3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IB module, Corporate Broking module</w:t>
            </w:r>
          </w:p>
        </w:tc>
        <w:tc>
          <w:tcPr>
            <w:tcW w:type="dxa" w:w="3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Deal lifecycle, Pitch tracker, Wall-crossing, Corporate empanelment</w:t>
            </w:r>
          </w:p>
        </w:tc>
      </w:tr>
      <w:tr>
        <w:tc>
          <w:tcPr>
            <w:tcW w:type="dxa" w:w="18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Phase 4 – Inst. &amp; AIF</w:t>
            </w:r>
          </w:p>
        </w:tc>
        <w:tc>
          <w:tcPr>
            <w:tcW w:type="dxa" w:w="1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Months 10-12</w:t>
            </w:r>
          </w:p>
        </w:tc>
        <w:tc>
          <w:tcPr>
            <w:tcW w:type="dxa" w:w="3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Institutional Equities, AIF module</w:t>
            </w:r>
          </w:p>
        </w:tc>
        <w:tc>
          <w:tcPr>
            <w:tcW w:type="dxa" w:w="3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Wallet share, MiFID II, Research distribution, AIF IR workflows</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Phase 5 – Analytics &amp; Integrations</w:t>
            </w:r>
          </w:p>
        </w:tc>
        <w:tc>
          <w:tcPr>
            <w:tcW w:type="dxa" w:w="1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Months 13-15</w:t>
            </w:r>
          </w:p>
        </w:tc>
        <w:tc>
          <w:tcPr>
            <w:tcW w:type="dxa" w:w="3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Dashboards, Integrations, Reports</w:t>
            </w:r>
          </w:p>
        </w:tc>
        <w:tc>
          <w:tcPr>
            <w:tcW w:type="dxa" w:w="3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Executive dashboards, Bloomberg/Refinitiv, OMS, SEBI integrations</w:t>
            </w:r>
          </w:p>
        </w:tc>
      </w:tr>
      <w:tr>
        <w:tc>
          <w:tcPr>
            <w:tcW w:type="dxa" w:w="18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Phase 6 – UAT &amp; Go-Live</w:t>
            </w:r>
          </w:p>
        </w:tc>
        <w:tc>
          <w:tcPr>
            <w:tcW w:type="dxa" w:w="1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Months 16-18</w:t>
            </w:r>
          </w:p>
        </w:tc>
        <w:tc>
          <w:tcPr>
            <w:tcW w:type="dxa" w:w="3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Testing, training, phased rollout</w:t>
            </w:r>
          </w:p>
        </w:tc>
        <w:tc>
          <w:tcPr>
            <w:tcW w:type="dxa" w:w="3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UAT sign-off, User training, Phased business-line go-live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02A" w:sz="1"/>
              <w:left w:val="single" w:color="E8902A" w:sz="1"/>
              <w:bottom w:val="single" w:color="E8902A" w:sz="1"/>
              <w:right w:val="single" w:color="E8902A" w:sz="1"/>
            </w:tcBorders>
            <w:shd w:fill="FEF3E2" w:val="clear"/>
            <w:tcMar>
              <w:top w:type="dxa" w:w="120"/>
              <w:left w:type="dxa" w:w="200"/>
              <w:bottom w:type="dxa" w:w="120"/>
              <w:right w:type="dxa" w:w="200"/>
            </w:tcMar>
          </w:tcPr>
          <w:p>
            <w:r>
              <w:rPr>
                <w:rFonts w:ascii="Arial" w:cs="Arial" w:eastAsia="Arial" w:hAnsi="Arial"/>
                <w:b/>
                <w:bCs/>
                <w:color w:val="E8902A"/>
                <w:sz w:val="20"/>
                <w:szCs w:val="20"/>
              </w:rPr>
              <w:t xml:space="preserve">Technology Stack Reminder – All Phases</w:t>
            </w:r>
          </w:p>
          <w:p>
            <w:r>
              <w:rPr>
                <w:rFonts w:ascii="Arial" w:cs="Arial" w:eastAsia="Arial" w:hAnsi="Arial"/>
                <w:color w:val="1F2D3D"/>
                <w:sz w:val="18"/>
                <w:szCs w:val="18"/>
              </w:rPr>
              <w:t xml:space="preserve">  • Frontend: React.js 18+ with TypeScript</w:t>
            </w:r>
          </w:p>
          <w:p>
            <w:r>
              <w:rPr>
                <w:rFonts w:ascii="Arial" w:cs="Arial" w:eastAsia="Arial" w:hAnsi="Arial"/>
                <w:color w:val="1F2D3D"/>
                <w:sz w:val="18"/>
                <w:szCs w:val="18"/>
              </w:rPr>
              <w:t xml:space="preserve">  • Backend: Node.js (NestJS) microservices</w:t>
            </w:r>
          </w:p>
          <w:p>
            <w:r>
              <w:rPr>
                <w:rFonts w:ascii="Arial" w:cs="Arial" w:eastAsia="Arial" w:hAnsi="Arial"/>
                <w:color w:val="1F2D3D"/>
                <w:sz w:val="18"/>
                <w:szCs w:val="18"/>
              </w:rPr>
              <w:t xml:space="preserve">  • Database: PostgreSQL 15+ on AWS RDS (Multi-AZ)</w:t>
            </w:r>
          </w:p>
          <w:p>
            <w:r>
              <w:rPr>
                <w:rFonts w:ascii="Arial" w:cs="Arial" w:eastAsia="Arial" w:hAnsi="Arial"/>
                <w:color w:val="1F2D3D"/>
                <w:sz w:val="18"/>
                <w:szCs w:val="18"/>
              </w:rPr>
              <w:t xml:space="preserve">  • Document Storage: AWS S3 with CloudFront CDN</w:t>
            </w:r>
          </w:p>
          <w:p>
            <w:r>
              <w:rPr>
                <w:rFonts w:ascii="Arial" w:cs="Arial" w:eastAsia="Arial" w:hAnsi="Arial"/>
                <w:color w:val="1F2D3D"/>
                <w:sz w:val="18"/>
                <w:szCs w:val="18"/>
              </w:rPr>
              <w:t xml:space="preserve">  • Auth: AWS Cognito + M365 SAML SSO</w:t>
            </w:r>
          </w:p>
          <w:p>
            <w:r>
              <w:rPr>
                <w:rFonts w:ascii="Arial" w:cs="Arial" w:eastAsia="Arial" w:hAnsi="Arial"/>
                <w:color w:val="1F2D3D"/>
                <w:sz w:val="18"/>
                <w:szCs w:val="18"/>
              </w:rPr>
              <w:t xml:space="preserve">  • Infra: AWS ECS Fargate, API Gateway, ElastiCache, OpenSearch, SES, SNS, CloudWatch</w:t>
            </w:r>
          </w:p>
        </w:tc>
      </w:tr>
    </w:tbl>
    <w:p>
      <w:pPr>
        <w:spacing w:before="60" w:after="60"/>
      </w:pPr>
      <w:r>
        <w:t xml:space="preserve"/>
      </w:r>
    </w:p>
    <w:p>
      <w:pPr>
        <w:pStyle w:val="Heading1"/>
        <w:pageBreakBefore/>
        <w:spacing w:before="360" w:after="180"/>
      </w:pPr>
      <w:r>
        <w:rPr>
          <w:rFonts w:ascii="Arial" w:cs="Arial" w:eastAsia="Arial" w:hAnsi="Arial"/>
          <w:b/>
          <w:bCs/>
          <w:color w:val="1B3A6B"/>
          <w:sz w:val="36"/>
          <w:szCs w:val="36"/>
        </w:rPr>
        <w:t xml:space="preserve">20. Appendix</w:t>
      </w:r>
    </w:p>
    <w:p>
      <w:pPr>
        <w:pStyle w:val="Heading2"/>
        <w:pBdr>
          <w:bottom w:val="single" w:color="2E75B6" w:sz="4" w:space="4"/>
        </w:pBdr>
        <w:spacing w:before="280" w:after="140"/>
      </w:pPr>
      <w:r>
        <w:rPr>
          <w:rFonts w:ascii="Arial" w:cs="Arial" w:eastAsia="Arial" w:hAnsi="Arial"/>
          <w:b/>
          <w:bCs/>
          <w:color w:val="2E75B6"/>
          <w:sz w:val="28"/>
          <w:szCs w:val="28"/>
        </w:rPr>
        <w:t xml:space="preserve">20.1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Term</w:t>
            </w:r>
          </w:p>
        </w:tc>
        <w:tc>
          <w:tcPr>
            <w:tcW w:type="dxa" w:w="73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Definition</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AIF</w:t>
            </w:r>
          </w:p>
        </w:tc>
        <w:tc>
          <w:tcPr>
            <w:tcW w:type="dxa" w:w="7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Alternate Investment Fund — SEBI-registered pooled investment vehicle (Cat I, II, III)</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AML</w:t>
            </w:r>
          </w:p>
        </w:tc>
        <w:tc>
          <w:tcPr>
            <w:tcW w:type="dxa" w:w="73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Anti-Money Laundering — regulatory compliance framework</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AUM</w:t>
            </w:r>
          </w:p>
        </w:tc>
        <w:tc>
          <w:tcPr>
            <w:tcW w:type="dxa" w:w="7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Assets Under Management</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BANT</w:t>
            </w:r>
          </w:p>
        </w:tc>
        <w:tc>
          <w:tcPr>
            <w:tcW w:type="dxa" w:w="73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Budget, Authority, Need, Timeline — lead qualification framework</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CKYC</w:t>
            </w:r>
          </w:p>
        </w:tc>
        <w:tc>
          <w:tcPr>
            <w:tcW w:type="dxa" w:w="7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Central Know Your Customer — India's central KYC registry</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CTI</w:t>
            </w:r>
          </w:p>
        </w:tc>
        <w:tc>
          <w:tcPr>
            <w:tcW w:type="dxa" w:w="73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Computer Telephony Integration — linking phone systems to CRM</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DCM</w:t>
            </w:r>
          </w:p>
        </w:tc>
        <w:tc>
          <w:tcPr>
            <w:tcW w:type="dxa" w:w="7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Debt Capital Markets — issuance of bonds and other debt securities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DMS</w:t>
            </w:r>
          </w:p>
        </w:tc>
        <w:tc>
          <w:tcPr>
            <w:tcW w:type="dxa" w:w="73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Document Management System</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DRHP</w:t>
            </w:r>
          </w:p>
        </w:tc>
        <w:tc>
          <w:tcPr>
            <w:tcW w:type="dxa" w:w="7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Draft Red Herring Prospectus — pre-IPO regulatory filing</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ECM</w:t>
            </w:r>
          </w:p>
        </w:tc>
        <w:tc>
          <w:tcPr>
            <w:tcW w:type="dxa" w:w="73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Equity Capital Markets — IPO, FPO, QIP, Rights Issues</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ISDA</w:t>
            </w:r>
          </w:p>
        </w:tc>
        <w:tc>
          <w:tcPr>
            <w:tcW w:type="dxa" w:w="7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International Swaps and Derivatives Association — master agreement framework</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LOE</w:t>
            </w:r>
          </w:p>
        </w:tc>
        <w:tc>
          <w:tcPr>
            <w:tcW w:type="dxa" w:w="73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Letter of Engagement — formal mandate acceptance document</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MiFID II</w:t>
            </w:r>
          </w:p>
        </w:tc>
        <w:tc>
          <w:tcPr>
            <w:tcW w:type="dxa" w:w="7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Markets in Financial Instruments Directive II — EU financial regulation</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NDR</w:t>
            </w:r>
          </w:p>
        </w:tc>
        <w:tc>
          <w:tcPr>
            <w:tcW w:type="dxa" w:w="73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Non-Deal Roadshow — company management meetings with investors without a capital raise</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RPA</w:t>
            </w:r>
          </w:p>
        </w:tc>
        <w:tc>
          <w:tcPr>
            <w:tcW w:type="dxa" w:w="7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Research Payment Account — MiFID II mechanism to separately pay for research</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RBAC</w:t>
            </w:r>
          </w:p>
        </w:tc>
        <w:tc>
          <w:tcPr>
            <w:tcW w:type="dxa" w:w="73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Role-Based Access Control</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SEBI</w:t>
            </w:r>
          </w:p>
        </w:tc>
        <w:tc>
          <w:tcPr>
            <w:tcW w:type="dxa" w:w="7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Securities and Exchange Board of India</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SCORES</w:t>
            </w:r>
          </w:p>
        </w:tc>
        <w:tc>
          <w:tcPr>
            <w:tcW w:type="dxa" w:w="73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SEBI Complaint Redress System</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SLA</w:t>
            </w:r>
          </w:p>
        </w:tc>
        <w:tc>
          <w:tcPr>
            <w:tcW w:type="dxa" w:w="7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Service Level Agreement</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SR</w:t>
            </w:r>
          </w:p>
        </w:tc>
        <w:tc>
          <w:tcPr>
            <w:tcW w:type="dxa" w:w="73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Service Request</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UPSI</w:t>
            </w:r>
          </w:p>
        </w:tc>
        <w:tc>
          <w:tcPr>
            <w:tcW w:type="dxa" w:w="7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Unpublished Price Sensitive Information — insider trading regulation</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UTM</w:t>
            </w:r>
          </w:p>
        </w:tc>
        <w:tc>
          <w:tcPr>
            <w:tcW w:type="dxa" w:w="73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Urchin Tracking Module — campaign tracking parameters in URLs</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UBO</w:t>
            </w:r>
          </w:p>
        </w:tc>
        <w:tc>
          <w:tcPr>
            <w:tcW w:type="dxa" w:w="73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Ultimate Beneficial Owner — AML/KYC identification requirement</w:t>
            </w:r>
          </w:p>
        </w:tc>
      </w:tr>
    </w:tbl>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20.2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4160"/>
      </w:tblGrid>
      <w:tr>
        <w:trPr>
          <w:tblHeader/>
        </w:trPr>
        <w:tc>
          <w:tcPr>
            <w:tcW w:type="dxa" w:w="12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Version</w:t>
            </w:r>
          </w:p>
        </w:tc>
        <w:tc>
          <w:tcPr>
            <w:tcW w:type="dxa" w:w="18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Date</w:t>
            </w:r>
          </w:p>
        </w:tc>
        <w:tc>
          <w:tcPr>
            <w:tcW w:type="dxa" w:w="22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Author</w:t>
            </w:r>
          </w:p>
        </w:tc>
        <w:tc>
          <w:tcPr>
            <w:tcW w:type="dxa" w:w="41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Changes</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0.1</w:t>
            </w:r>
          </w:p>
        </w:tc>
        <w:tc>
          <w:tcPr>
            <w:tcW w:type="dxa" w:w="18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Feb 2026</w:t>
            </w:r>
          </w:p>
        </w:tc>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BA Team</w:t>
            </w:r>
          </w:p>
        </w:tc>
        <w:tc>
          <w:tcPr>
            <w:tcW w:type="dxa" w:w="4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Initial draft — scope and objectives</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0.5</w:t>
            </w:r>
          </w:p>
        </w:tc>
        <w:tc>
          <w:tcPr>
            <w:tcW w:type="dxa" w:w="18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Mar 2026</w:t>
            </w:r>
          </w:p>
        </w:tc>
        <w:tc>
          <w:tcPr>
            <w:tcW w:type="dxa" w:w="22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BA Team</w:t>
            </w:r>
          </w:p>
        </w:tc>
        <w:tc>
          <w:tcPr>
            <w:tcW w:type="dxa" w:w="4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Added business line workflows and CS module</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1.0</w:t>
            </w:r>
          </w:p>
        </w:tc>
        <w:tc>
          <w:tcPr>
            <w:tcW w:type="dxa" w:w="18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Mar 2026</w:t>
            </w:r>
          </w:p>
        </w:tc>
        <w:tc>
          <w:tcPr>
            <w:tcW w:type="dxa" w:w="22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BA Team</w:t>
            </w:r>
          </w:p>
        </w:tc>
        <w:tc>
          <w:tcPr>
            <w:tcW w:type="dxa" w:w="4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Complete BRD — all modules, SR, DMS, compliance, analytics</w:t>
            </w:r>
          </w:p>
        </w:tc>
      </w:tr>
    </w:tbl>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20.3 Approval Sign-offs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160"/>
        <w:gridCol w:w="2400"/>
      </w:tblGrid>
      <w:tr>
        <w:trPr>
          <w:tblHeader/>
        </w:trPr>
        <w:tc>
          <w:tcPr>
            <w:tcW w:type="dxa" w:w="28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Role</w:t>
            </w:r>
          </w:p>
        </w:tc>
        <w:tc>
          <w:tcPr>
            <w:tcW w:type="dxa" w:w="20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Name</w:t>
            </w:r>
          </w:p>
        </w:tc>
        <w:tc>
          <w:tcPr>
            <w:tcW w:type="dxa" w:w="216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Signature</w:t>
            </w:r>
          </w:p>
        </w:tc>
        <w:tc>
          <w:tcPr>
            <w:tcW w:type="dxa" w:w="24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Date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Head of Retail Broking</w:t>
            </w:r>
          </w:p>
        </w:tc>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
            </w:r>
          </w:p>
        </w:tc>
        <w:tc>
          <w:tcPr>
            <w:tcW w:type="dxa" w:w="2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_______________</w:t>
            </w:r>
          </w:p>
        </w:tc>
        <w:tc>
          <w:tcPr>
            <w:tcW w:type="dxa" w:w="2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Head of Investment Banking</w:t>
            </w:r>
          </w:p>
        </w:tc>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
            </w:r>
          </w:p>
        </w:tc>
        <w:tc>
          <w:tcPr>
            <w:tcW w:type="dxa" w:w="2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_______________</w:t>
            </w:r>
          </w:p>
        </w:tc>
        <w:tc>
          <w:tcPr>
            <w:tcW w:type="dxa" w:w="2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Head of Institutional Equities</w:t>
            </w:r>
          </w:p>
        </w:tc>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
            </w:r>
          </w:p>
        </w:tc>
        <w:tc>
          <w:tcPr>
            <w:tcW w:type="dxa" w:w="2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_______________</w:t>
            </w:r>
          </w:p>
        </w:tc>
        <w:tc>
          <w:tcPr>
            <w:tcW w:type="dxa" w:w="2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Head of AIF</w:t>
            </w:r>
          </w:p>
        </w:tc>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
            </w:r>
          </w:p>
        </w:tc>
        <w:tc>
          <w:tcPr>
            <w:tcW w:type="dxa" w:w="2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_______________</w:t>
            </w:r>
          </w:p>
        </w:tc>
        <w:tc>
          <w:tcPr>
            <w:tcW w:type="dxa" w:w="2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Chief Technology Officer</w:t>
            </w:r>
          </w:p>
        </w:tc>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
            </w:r>
          </w:p>
        </w:tc>
        <w:tc>
          <w:tcPr>
            <w:tcW w:type="dxa" w:w="2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_______________</w:t>
            </w:r>
          </w:p>
        </w:tc>
        <w:tc>
          <w:tcPr>
            <w:tcW w:type="dxa" w:w="2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Compliance Officer</w:t>
            </w:r>
          </w:p>
        </w:tc>
        <w:tc>
          <w:tcPr>
            <w:tcW w:type="dxa" w:w="20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
            </w:r>
          </w:p>
        </w:tc>
        <w:tc>
          <w:tcPr>
            <w:tcW w:type="dxa" w:w="216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_______________</w:t>
            </w:r>
          </w:p>
        </w:tc>
        <w:tc>
          <w:tcPr>
            <w:tcW w:type="dxa" w:w="2400"/>
            <w:tcBorders>
              <w:top w:val="single" w:color="D9D9D9" w:sz="1"/>
              <w:left w:val="single" w:color="D9D9D9" w:sz="1"/>
              <w:bottom w:val="single" w:color="D9D9D9" w:sz="1"/>
              <w:right w:val="single" w:color="D9D9D9" w:sz="1"/>
            </w:tcBorders>
            <w:shd w:fill="F2F2F2"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Project Sponsor</w:t>
            </w:r>
          </w:p>
        </w:tc>
        <w:tc>
          <w:tcPr>
            <w:tcW w:type="dxa" w:w="20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
            </w:r>
          </w:p>
        </w:tc>
        <w:tc>
          <w:tcPr>
            <w:tcW w:type="dxa" w:w="216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_______________</w:t>
            </w:r>
          </w:p>
        </w:tc>
        <w:tc>
          <w:tcPr>
            <w:tcW w:type="dxa" w:w="2400"/>
            <w:tcBorders>
              <w:top w:val="single" w:color="D9D9D9" w:sz="1"/>
              <w:left w:val="single" w:color="D9D9D9" w:sz="1"/>
              <w:bottom w:val="single" w:color="D9D9D9" w:sz="1"/>
              <w:right w:val="single" w:color="D9D9D9" w:sz="1"/>
            </w:tcBorders>
            <w:shd w:fill="FFFFFF" w:val="clear"/>
            <w:tcMar>
              <w:top w:type="dxa" w:w="80"/>
              <w:left w:type="dxa" w:w="150"/>
              <w:bottom w:type="dxa" w:w="80"/>
              <w:right w:type="dxa" w:w="150"/>
            </w:tcMar>
            <w:vAlign w:val="center"/>
          </w:tcPr>
          <w:p>
            <w:r>
              <w:rPr>
                <w:rFonts w:ascii="Arial" w:cs="Arial" w:eastAsia="Arial" w:hAnsi="Arial"/>
                <w:b w:val="false"/>
                <w:bCs w:val="false"/>
                <w:color w:val="1F2D3D"/>
                <w:sz w:val="18"/>
                <w:szCs w:val="18"/>
              </w:rPr>
              <w:t xml:space="preserve"/>
            </w:r>
          </w:p>
        </w:tc>
      </w:tr>
    </w:tbl>
    <w:p>
      <w:pPr>
        <w:spacing w:before="60" w:after="60"/>
      </w:pPr>
      <w:r>
        <w:t xml:space="preserve"/>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000"/>
      </w:tabs>
    </w:pPr>
    <w:r>
      <w:rPr>
        <w:rFonts w:ascii="Arial" w:cs="Arial" w:eastAsia="Arial" w:hAnsi="Arial"/>
        <w:color w:val="D9D9D9"/>
        <w:sz w:val="16"/>
        <w:szCs w:val="16"/>
      </w:rPr>
      <w:t xml:space="preserve">Version 1.0  |  March 2026</w:t>
    </w:r>
    <w:r>
      <w:rPr>
        <w:rFonts w:ascii="Arial" w:cs="Arial" w:eastAsia="Arial" w:hAnsi="Arial"/>
        <w:color w:val="D9D9D9"/>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2E75B6"/>
        <w:sz w:val="16"/>
        <w:szCs w:val="16"/>
      </w:rPr>
      <w:t xml:space="preserve">Enterprise CRM Platform – Business Requirements Document</w:t>
    </w:r>
    <w:r>
      <w:rPr>
        <w:rFonts w:ascii="Arial" w:cs="Arial" w:eastAsia="Arial" w:hAnsi="Arial"/>
        <w:color w:val="D9D9D9"/>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D3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D6E6E"/>
      <w:sz w:val="24"/>
      <w:szCs w:val="24"/>
    </w:rPr>
  </w:style>
  <w:style w:type="paragraph" w:styleId="Heading4">
    <w:name w:val="Heading 4"/>
    <w:basedOn w:val="Normal"/>
    <w:next w:val="Normal"/>
    <w:qFormat/>
    <w:pPr>
      <w:spacing w:before="160" w:after="80"/>
      <w:outlineLvl w:val="3"/>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2026-03-21T13:22:49.970Z</dcterms:created>
  <dcterms:modified xsi:type="dcterms:W3CDTF">2026-03-21T13:22:49.971Z</dcterms:modified>
</cp:coreProperties>
</file>

<file path=docProps/custom.xml><?xml version="1.0" encoding="utf-8"?>
<Properties xmlns="http://schemas.openxmlformats.org/officeDocument/2006/custom-properties" xmlns:vt="http://schemas.openxmlformats.org/officeDocument/2006/docPropsVTypes"/>
</file>