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475467"/>
          <w:sz w:val="26"/>
          <w:szCs w:val="26"/>
        </w:rPr>
        <w:t xml:space="preserve">Ashika Asset Management Limited</w:t>
      </w:r>
    </w:p>
    <w:p>
      <w:pPr>
        <w:spacing w:after="160"/>
      </w:pPr>
      <w:r>
        <w:rPr>
          <w:rFonts w:ascii="Arial" w:cs="Arial" w:eastAsia="Arial" w:hAnsi="Arial"/>
          <w:b/>
          <w:bCs/>
          <w:color w:val="1F3864"/>
          <w:sz w:val="44"/>
          <w:szCs w:val="44"/>
        </w:rPr>
        <w:t xml:space="preserve">Information Security Policy and Framework</w:t>
      </w:r>
    </w:p>
    <w:p>
      <w:pPr>
        <w:spacing w:after="600"/>
      </w:pPr>
      <w:r>
        <w:rPr>
          <w:rFonts w:ascii="Arial" w:cs="Arial" w:eastAsia="Arial" w:hAnsi="Arial"/>
          <w:color w:val="475467"/>
          <w:sz w:val="24"/>
          <w:szCs w:val="24"/>
        </w:rPr>
        <w:t xml:space="preserve">Cybersecurity and cyber resilience framework aligned to SEBI CSCRF</w:t>
      </w:r>
    </w:p>
    <w:p>
      <w:pPr>
        <w:spacing w:after="200"/>
      </w:pPr>
      <w:r>
        <w:rPr>
          <w:rFonts w:ascii="Arial" w:cs="Arial" w:eastAsia="Arial" w:hAnsi="Arial"/>
          <w:i/>
          <w:iCs/>
          <w:color w:val="B54708"/>
          <w:sz w:val="20"/>
          <w:szCs w:val="20"/>
        </w:rPr>
        <w:t xml:space="preserve">DRAFT — for review by the IT Strategy Committee and approval by the Board. Text in [●] is to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64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Details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Information Security Policy and Framework</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 ID</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AAML-IS-POL-01</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Version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 — DRAFT for review</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Classification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Owner</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Chief Information Security Officer (CISO)</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Chief Information Security Officer (CISO); Compliance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Board of Directors, on recommendation of the IT Strategy Committee</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Effective date</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 (date of Board approval)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 frequency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At least once a year, and on any significant change in regulation, technology or business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Applies to</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Ashika Asset Management Limited (the "Company" / "AMC") and, where stated, its service providers</w:t>
            </w:r>
          </w:p>
        </w:tc>
      </w:tr>
    </w:tbl>
    <w:p>
      <w:pPr>
        <w:spacing w:after="120" w:line="276"/>
      </w:pPr>
    </w:p>
    <w:p>
      <w:pPr>
        <w:pStyle w:val="Heading2"/>
        <w:spacing w:after="100" w:before="200"/>
      </w:pPr>
      <w:r>
        <w:rPr>
          <w:rFonts w:ascii="Arial" w:cs="Arial" w:eastAsia="Arial" w:hAnsi="Arial"/>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826"/>
        <w:gridCol w:w="2500"/>
      </w:tblGrid>
      <w:tr>
        <w:trPr>
          <w:tblHeader/>
        </w:trPr>
        <w:tc>
          <w:tcPr>
            <w:tcW w:type="dxa" w:w="11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Version</w:t>
            </w:r>
          </w:p>
        </w:tc>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c>
          <w:tcPr>
            <w:tcW w:type="dxa" w:w="38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Change</w:t>
            </w:r>
          </w:p>
        </w:tc>
        <w:tc>
          <w:tcPr>
            <w:tcW w:type="dxa" w:w="2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Author / Approver</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First draft for review</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bl>
    <w:p>
      <w:r>
        <w:br w:type="page"/>
      </w:r>
    </w:p>
    <w:p>
      <w:pPr>
        <w:spacing w:after="120"/>
      </w:pPr>
      <w:r>
        <w:rPr>
          <w:rFonts w:ascii="Arial" w:cs="Arial" w:eastAsia="Arial" w:hAnsi="Arial"/>
          <w:b/>
          <w:bCs/>
          <w:color w:val="1F3864"/>
          <w:sz w:val="28"/>
          <w:szCs w:val="28"/>
        </w:rPr>
        <w:t xml:space="preserve">Contents</w:t>
      </w:r>
    </w:p>
    <w:p>
      <w:pPr>
        <w:spacing w:after="80"/>
      </w:pPr>
      <w:r>
        <w:rPr>
          <w:rFonts w:ascii="Arial" w:cs="Arial" w:eastAsia="Arial" w:hAnsi="Arial"/>
          <w:sz w:val="21"/>
          <w:szCs w:val="21"/>
        </w:rPr>
        <w:t xml:space="preserve">1. Purpose and objectives</w:t>
      </w:r>
    </w:p>
    <w:p>
      <w:pPr>
        <w:spacing w:after="80"/>
      </w:pPr>
      <w:r>
        <w:rPr>
          <w:rFonts w:ascii="Arial" w:cs="Arial" w:eastAsia="Arial" w:hAnsi="Arial"/>
          <w:sz w:val="21"/>
          <w:szCs w:val="21"/>
        </w:rPr>
        <w:t xml:space="preserve">2. Scope</w:t>
      </w:r>
    </w:p>
    <w:p>
      <w:pPr>
        <w:spacing w:after="80"/>
      </w:pPr>
      <w:r>
        <w:rPr>
          <w:rFonts w:ascii="Arial" w:cs="Arial" w:eastAsia="Arial" w:hAnsi="Arial"/>
          <w:sz w:val="21"/>
          <w:szCs w:val="21"/>
        </w:rPr>
        <w:t xml:space="preserve">3. Governance and organisation</w:t>
      </w:r>
    </w:p>
    <w:p>
      <w:pPr>
        <w:spacing w:after="80"/>
      </w:pPr>
      <w:r>
        <w:rPr>
          <w:rFonts w:ascii="Arial" w:cs="Arial" w:eastAsia="Arial" w:hAnsi="Arial"/>
          <w:sz w:val="21"/>
          <w:szCs w:val="21"/>
        </w:rPr>
        <w:t xml:space="preserve">4. Risk management</w:t>
      </w:r>
    </w:p>
    <w:p>
      <w:pPr>
        <w:spacing w:after="80"/>
      </w:pPr>
      <w:r>
        <w:rPr>
          <w:rFonts w:ascii="Arial" w:cs="Arial" w:eastAsia="Arial" w:hAnsi="Arial"/>
          <w:sz w:val="21"/>
          <w:szCs w:val="21"/>
        </w:rPr>
        <w:t xml:space="preserve">5. Security domains</w:t>
      </w:r>
    </w:p>
    <w:p>
      <w:pPr>
        <w:spacing w:after="80"/>
      </w:pPr>
      <w:r>
        <w:rPr>
          <w:rFonts w:ascii="Arial" w:cs="Arial" w:eastAsia="Arial" w:hAnsi="Arial"/>
          <w:sz w:val="21"/>
          <w:szCs w:val="21"/>
        </w:rPr>
        <w:t xml:space="preserve">6. Awareness and training</w:t>
      </w:r>
    </w:p>
    <w:p>
      <w:pPr>
        <w:spacing w:after="80"/>
      </w:pPr>
      <w:r>
        <w:rPr>
          <w:rFonts w:ascii="Arial" w:cs="Arial" w:eastAsia="Arial" w:hAnsi="Arial"/>
          <w:sz w:val="21"/>
          <w:szCs w:val="21"/>
        </w:rPr>
        <w:t xml:space="preserve">7. Supporting procedures and standards</w:t>
      </w:r>
    </w:p>
    <w:p>
      <w:pPr>
        <w:spacing w:after="80"/>
      </w:pPr>
      <w:r>
        <w:rPr>
          <w:rFonts w:ascii="Arial" w:cs="Arial" w:eastAsia="Arial" w:hAnsi="Arial"/>
          <w:sz w:val="21"/>
          <w:szCs w:val="21"/>
        </w:rPr>
        <w:t xml:space="preserve">References</w:t>
      </w:r>
    </w:p>
    <w:p>
      <w:pPr>
        <w:spacing w:after="80"/>
      </w:pPr>
      <w:r>
        <w:rPr>
          <w:rFonts w:ascii="Arial" w:cs="Arial" w:eastAsia="Arial" w:hAnsi="Arial"/>
          <w:sz w:val="21"/>
          <w:szCs w:val="21"/>
        </w:rPr>
        <w:t xml:space="preserve">Compliance, monitoring and exceptions</w:t>
      </w:r>
    </w:p>
    <w:p>
      <w:pPr>
        <w:spacing w:after="80"/>
      </w:pPr>
      <w:r>
        <w:rPr>
          <w:rFonts w:ascii="Arial" w:cs="Arial" w:eastAsia="Arial" w:hAnsi="Arial"/>
          <w:sz w:val="21"/>
          <w:szCs w:val="21"/>
        </w:rPr>
        <w:t xml:space="preserve">Review</w:t>
      </w:r>
    </w:p>
    <w:p>
      <w:pPr>
        <w:spacing w:after="80"/>
      </w:pPr>
      <w:r>
        <w:rPr>
          <w:rFonts w:ascii="Arial" w:cs="Arial" w:eastAsia="Arial" w:hAnsi="Arial"/>
          <w:sz w:val="21"/>
          <w:szCs w:val="21"/>
        </w:rPr>
        <w:t xml:space="preserve">Annexure — Mapping to the SEBI system audit checklist</w:t>
      </w:r>
    </w:p>
    <w:p>
      <w:r>
        <w:br w:type="page"/>
      </w:r>
    </w:p>
    <w:p>
      <w:pPr>
        <w:pStyle w:val="Heading1"/>
        <w:spacing w:after="120" w:before="280"/>
      </w:pPr>
      <w:r>
        <w:rPr>
          <w:rFonts w:ascii="Arial" w:cs="Arial" w:eastAsia="Arial" w:hAnsi="Arial"/>
        </w:rPr>
        <w:t xml:space="preserve">1. Purpose and objectives</w:t>
      </w:r>
    </w:p>
    <w:p>
      <w:pPr>
        <w:spacing w:after="120" w:line="276"/>
      </w:pPr>
      <w:r>
        <w:rPr>
          <w:rFonts w:ascii="Arial" w:cs="Arial" w:eastAsia="Arial" w:hAnsi="Arial"/>
        </w:rPr>
        <w:t xml:space="preserve">To protect the confidentiality, integrity and availability of the Company's information and systems, and of investor and fund data entrusted to it, and to meet SEBI CSCRF and other legal requirements.</w:t>
      </w:r>
    </w:p>
    <w:p>
      <w:pPr>
        <w:pStyle w:val="ListParagraph"/>
        <w:numPr>
          <w:ilvl w:val="0"/>
          <w:numId w:val="2"/>
        </w:numPr>
        <w:spacing w:after="60" w:line="264"/>
      </w:pPr>
      <w:r>
        <w:rPr>
          <w:rFonts w:ascii="Arial" w:cs="Arial" w:eastAsia="Arial" w:hAnsi="Arial"/>
        </w:rPr>
        <w:t xml:space="preserve">Protect investor personal data and fund data from unauthorised access, change or loss.</w:t>
      </w:r>
    </w:p>
    <w:p>
      <w:pPr>
        <w:pStyle w:val="ListParagraph"/>
        <w:numPr>
          <w:ilvl w:val="0"/>
          <w:numId w:val="2"/>
        </w:numPr>
        <w:spacing w:after="60" w:line="264"/>
      </w:pPr>
      <w:r>
        <w:rPr>
          <w:rFonts w:ascii="Arial" w:cs="Arial" w:eastAsia="Arial" w:hAnsi="Arial"/>
        </w:rPr>
        <w:t xml:space="preserve">Detect, respond to and recover from cyber incidents quickly.</w:t>
      </w:r>
    </w:p>
    <w:p>
      <w:pPr>
        <w:pStyle w:val="ListParagraph"/>
        <w:numPr>
          <w:ilvl w:val="0"/>
          <w:numId w:val="2"/>
        </w:numPr>
        <w:spacing w:after="60" w:line="264"/>
      </w:pPr>
      <w:r>
        <w:rPr>
          <w:rFonts w:ascii="Arial" w:cs="Arial" w:eastAsia="Arial" w:hAnsi="Arial"/>
        </w:rPr>
        <w:t xml:space="preserve">Make security part of every IT process, project and vendor relationship.</w:t>
      </w:r>
    </w:p>
    <w:p>
      <w:pPr>
        <w:pStyle w:val="ListParagraph"/>
        <w:numPr>
          <w:ilvl w:val="0"/>
          <w:numId w:val="2"/>
        </w:numPr>
        <w:spacing w:after="60" w:line="264"/>
      </w:pPr>
      <w:r>
        <w:rPr>
          <w:rFonts w:ascii="Arial" w:cs="Arial" w:eastAsia="Arial" w:hAnsi="Arial"/>
        </w:rPr>
        <w:t xml:space="preserve">Comply with SEBI, CERT-In, DPDP and contractual requirements.</w:t>
      </w:r>
    </w:p>
    <w:p>
      <w:pPr>
        <w:pStyle w:val="Heading1"/>
        <w:spacing w:after="120" w:before="280"/>
      </w:pPr>
      <w:r>
        <w:rPr>
          <w:rFonts w:ascii="Arial" w:cs="Arial" w:eastAsia="Arial" w:hAnsi="Arial"/>
        </w:rPr>
        <w:t xml:space="preserve">2. Scope</w:t>
      </w:r>
    </w:p>
    <w:p>
      <w:pPr>
        <w:spacing w:after="120" w:line="276"/>
      </w:pPr>
      <w:r>
        <w:rPr>
          <w:rFonts w:ascii="Arial" w:cs="Arial" w:eastAsia="Arial" w:hAnsi="Arial"/>
        </w:rPr>
        <w:t xml:space="preserve">All information (electronic and paper), systems, cloud services, networks, devices, people and service providers handling Company information — including data exchanged with service providers.</w:t>
      </w:r>
    </w:p>
    <w:p>
      <w:pPr>
        <w:pStyle w:val="Heading1"/>
        <w:spacing w:after="120" w:before="280"/>
      </w:pPr>
      <w:r>
        <w:rPr>
          <w:rFonts w:ascii="Arial" w:cs="Arial" w:eastAsia="Arial" w:hAnsi="Arial"/>
        </w:rPr>
        <w:t xml:space="preserve">3. Governance and organisation</w:t>
      </w:r>
    </w:p>
    <w:p>
      <w:pPr>
        <w:pStyle w:val="ListParagraph"/>
        <w:numPr>
          <w:ilvl w:val="0"/>
          <w:numId w:val="2"/>
        </w:numPr>
        <w:spacing w:after="60" w:line="264"/>
      </w:pPr>
      <w:r>
        <w:rPr>
          <w:rFonts w:ascii="Arial" w:cs="Arial" w:eastAsia="Arial" w:hAnsi="Arial"/>
        </w:rPr>
        <w:t xml:space="preserve">The Board approves this policy and receives a cyber security report at least every quarter (through the IT Strategy Committee).</w:t>
      </w:r>
    </w:p>
    <w:p>
      <w:pPr>
        <w:pStyle w:val="ListParagraph"/>
        <w:numPr>
          <w:ilvl w:val="0"/>
          <w:numId w:val="2"/>
        </w:numPr>
        <w:spacing w:after="60" w:line="264"/>
      </w:pPr>
      <w:r>
        <w:rPr>
          <w:rFonts w:ascii="Arial" w:cs="Arial" w:eastAsia="Arial" w:hAnsi="Arial"/>
        </w:rPr>
        <w:t xml:space="preserve">A </w:t>
      </w:r>
      <w:r>
        <w:rPr>
          <w:rFonts w:ascii="Arial" w:cs="Arial" w:eastAsia="Arial" w:hAnsi="Arial"/>
          <w:b/>
          <w:bCs/>
        </w:rPr>
        <w:t xml:space="preserve">CISO</w:t>
      </w:r>
      <w:r>
        <w:rPr>
          <w:rFonts w:ascii="Arial" w:cs="Arial" w:eastAsia="Arial" w:hAnsi="Arial"/>
        </w:rPr>
        <w:t xml:space="preserve"> is appointed, independent of IT operations, with adequate authority and resources. The CISO leads the security function, maintains this framework, monitors compliance and reports incidents.</w:t>
      </w:r>
    </w:p>
    <w:p>
      <w:pPr>
        <w:pStyle w:val="ListParagraph"/>
        <w:numPr>
          <w:ilvl w:val="0"/>
          <w:numId w:val="2"/>
        </w:numPr>
        <w:spacing w:after="60" w:line="264"/>
      </w:pPr>
      <w:r>
        <w:rPr>
          <w:rFonts w:ascii="Arial" w:cs="Arial" w:eastAsia="Arial" w:hAnsi="Arial"/>
        </w:rPr>
        <w:t xml:space="preserve">The </w:t>
      </w:r>
      <w:r>
        <w:rPr>
          <w:rFonts w:ascii="Arial" w:cs="Arial" w:eastAsia="Arial" w:hAnsi="Arial"/>
          <w:b/>
          <w:bCs/>
        </w:rPr>
        <w:t xml:space="preserve">Information Security Steering Committee</w:t>
      </w:r>
      <w:r>
        <w:rPr>
          <w:rFonts w:ascii="Arial" w:cs="Arial" w:eastAsia="Arial" w:hAnsi="Arial"/>
        </w:rPr>
        <w:t xml:space="preserve"> (CISO — chair, Head of IT, Compliance, Risk, Operations, DPO) meets every quarter to review risks, incidents, VAPT and audit findings.</w:t>
      </w:r>
    </w:p>
    <w:p>
      <w:pPr>
        <w:pStyle w:val="ListParagraph"/>
        <w:numPr>
          <w:ilvl w:val="0"/>
          <w:numId w:val="2"/>
        </w:numPr>
        <w:spacing w:after="60" w:line="264"/>
      </w:pPr>
      <w:r>
        <w:rPr>
          <w:rFonts w:ascii="Arial" w:cs="Arial" w:eastAsia="Arial" w:hAnsi="Arial"/>
        </w:rPr>
        <w:t xml:space="preserve">The Company determines its category under CSCRF (based on its assets under management and other criteria) every year and implements the requirements applicable to that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Role</w:t>
            </w:r>
          </w:p>
        </w:tc>
        <w:tc>
          <w:tcPr>
            <w:tcW w:type="dxa" w:w="63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Responsibility</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Board of Directors</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Approves this document; receives reports on compliance and significant exceptions.</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IT Strategy Committee</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Recommends the document to the Board, reviews compliance, exceptions and incidents at least twice a year.</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CISO</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Owns information security controls; monitors compliance; approves security exceptions.</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Head of IT</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Implements and operates the controls; maintains procedures, records and evidence.</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Data Protection Officer</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Personal data compliance, privacy notices, data principal requests, breach notification under DPDP.</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Business / data owners</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 access and changes for their systems and data; take part in reviews.</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All employees and contractors</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Follow this document; report incidents and weaknesses immediately.</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 Audit / System Auditor</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Independently verifies the design and operation of the controls.</w:t>
            </w:r>
          </w:p>
        </w:tc>
      </w:tr>
    </w:tbl>
    <w:p>
      <w:pPr>
        <w:spacing w:after="120" w:line="276"/>
      </w:pPr>
    </w:p>
    <w:p>
      <w:pPr>
        <w:pStyle w:val="Heading1"/>
        <w:spacing w:after="120" w:before="280"/>
      </w:pPr>
      <w:r>
        <w:rPr>
          <w:rFonts w:ascii="Arial" w:cs="Arial" w:eastAsia="Arial" w:hAnsi="Arial"/>
        </w:rPr>
        <w:t xml:space="preserve">4. Risk management</w:t>
      </w:r>
    </w:p>
    <w:p>
      <w:pPr>
        <w:pStyle w:val="ListParagraph"/>
        <w:numPr>
          <w:ilvl w:val="0"/>
          <w:numId w:val="2"/>
        </w:numPr>
        <w:spacing w:after="60" w:line="264"/>
      </w:pPr>
      <w:r>
        <w:rPr>
          <w:rFonts w:ascii="Arial" w:cs="Arial" w:eastAsia="Arial" w:hAnsi="Arial"/>
        </w:rPr>
        <w:t xml:space="preserve">Information assets are identified and classified (see Information Classification Procedure AAML-IS-PRC-06).</w:t>
      </w:r>
    </w:p>
    <w:p>
      <w:pPr>
        <w:pStyle w:val="ListParagraph"/>
        <w:numPr>
          <w:ilvl w:val="0"/>
          <w:numId w:val="2"/>
        </w:numPr>
        <w:spacing w:after="60" w:line="264"/>
      </w:pPr>
      <w:r>
        <w:rPr>
          <w:rFonts w:ascii="Arial" w:cs="Arial" w:eastAsia="Arial" w:hAnsi="Arial"/>
        </w:rPr>
        <w:t xml:space="preserve">Information security risk assessment at least once a year and on major change (new system, vendor, location), covering threats, vulnerabilities, impact and likelihood; risk treatment plans have owners and dates; residual risk is accepted by the business owner and reported to the IT Strategy Committee.</w:t>
      </w:r>
    </w:p>
    <w:p>
      <w:pPr>
        <w:pStyle w:val="ListParagraph"/>
        <w:numPr>
          <w:ilvl w:val="0"/>
          <w:numId w:val="2"/>
        </w:numPr>
        <w:spacing w:after="60" w:line="264"/>
      </w:pPr>
      <w:r>
        <w:rPr>
          <w:rFonts w:ascii="Arial" w:cs="Arial" w:eastAsia="Arial" w:hAnsi="Arial"/>
        </w:rPr>
        <w:t xml:space="preserve">Vulnerability assessment and penetration testing (VAPT) by a CERT-In empanelled auditor at least as often as CSCRF requires for the Company's category, and after major changes; critical and high findings are fixed within the CSCRF timelines.</w:t>
      </w:r>
    </w:p>
    <w:p>
      <w:pPr>
        <w:pStyle w:val="ListParagraph"/>
        <w:numPr>
          <w:ilvl w:val="0"/>
          <w:numId w:val="2"/>
        </w:numPr>
        <w:spacing w:after="60" w:line="264"/>
      </w:pPr>
      <w:r>
        <w:rPr>
          <w:rFonts w:ascii="Arial" w:cs="Arial" w:eastAsia="Arial" w:hAnsi="Arial"/>
        </w:rPr>
        <w:t xml:space="preserve">Threat intelligence from CERT-In, CSIRT-Fin, SEBI and vendors is reviewed and acted on.</w:t>
      </w:r>
    </w:p>
    <w:p>
      <w:pPr>
        <w:pStyle w:val="Heading1"/>
        <w:spacing w:after="120" w:before="280"/>
      </w:pPr>
      <w:r>
        <w:rPr>
          <w:rFonts w:ascii="Arial" w:cs="Arial" w:eastAsia="Arial" w:hAnsi="Arial"/>
        </w:rPr>
        <w:t xml:space="preserve">5. Security domains</w:t>
      </w:r>
    </w:p>
    <w:p>
      <w:pPr>
        <w:pStyle w:val="Heading2"/>
        <w:spacing w:after="100" w:before="200"/>
      </w:pPr>
      <w:r>
        <w:rPr>
          <w:rFonts w:ascii="Arial" w:cs="Arial" w:eastAsia="Arial" w:hAnsi="Arial"/>
        </w:rPr>
        <w:t xml:space="preserve">5.1 Access management — physical and logical</w:t>
      </w:r>
    </w:p>
    <w:p>
      <w:pPr>
        <w:pStyle w:val="ListParagraph"/>
        <w:numPr>
          <w:ilvl w:val="0"/>
          <w:numId w:val="2"/>
        </w:numPr>
        <w:spacing w:after="60" w:line="264"/>
      </w:pPr>
      <w:r>
        <w:rPr>
          <w:rFonts w:ascii="Arial" w:cs="Arial" w:eastAsia="Arial" w:hAnsi="Arial"/>
        </w:rPr>
        <w:t xml:space="preserve">Logical access as per IT Policy section 5.2: approved requests, unique IDs, MFA, timely revocation, periodic reviews, privileged access management.</w:t>
      </w:r>
    </w:p>
    <w:p>
      <w:pPr>
        <w:pStyle w:val="ListParagraph"/>
        <w:numPr>
          <w:ilvl w:val="0"/>
          <w:numId w:val="2"/>
        </w:numPr>
        <w:spacing w:after="60" w:line="264"/>
      </w:pPr>
      <w:r>
        <w:rPr>
          <w:rFonts w:ascii="Arial" w:cs="Arial" w:eastAsia="Arial" w:hAnsi="Arial"/>
        </w:rPr>
        <w:t xml:space="preserve">Physical access to office, network room and records storage only to authorised persons, through access cards / registers, revoked on exit and reviewed every quarter; visitors are escorted and logged.</w:t>
      </w:r>
    </w:p>
    <w:p>
      <w:pPr>
        <w:pStyle w:val="ListParagraph"/>
        <w:numPr>
          <w:ilvl w:val="0"/>
          <w:numId w:val="2"/>
        </w:numPr>
        <w:spacing w:after="60" w:line="264"/>
      </w:pPr>
      <w:r>
        <w:rPr>
          <w:rFonts w:ascii="Arial" w:cs="Arial" w:eastAsia="Arial" w:hAnsi="Arial"/>
        </w:rPr>
        <w:t xml:space="preserve">Password rules: minimum 12 characters, complexity, no reuse of last 12 passwords, maximum age 90 days for accounts without MFA, lockout after 5 failed attempts for 30 minutes.</w:t>
      </w:r>
    </w:p>
    <w:p>
      <w:pPr>
        <w:pStyle w:val="Heading2"/>
        <w:spacing w:after="100" w:before="200"/>
      </w:pPr>
      <w:r>
        <w:rPr>
          <w:rFonts w:ascii="Arial" w:cs="Arial" w:eastAsia="Arial" w:hAnsi="Arial"/>
        </w:rPr>
        <w:t xml:space="preserve">5.2 Infrastructure and application change management</w:t>
      </w:r>
    </w:p>
    <w:p>
      <w:pPr>
        <w:pStyle w:val="ListParagraph"/>
        <w:numPr>
          <w:ilvl w:val="0"/>
          <w:numId w:val="2"/>
        </w:numPr>
        <w:spacing w:after="60" w:line="264"/>
      </w:pPr>
      <w:r>
        <w:rPr>
          <w:rFonts w:ascii="Arial" w:cs="Arial" w:eastAsia="Arial" w:hAnsi="Arial"/>
        </w:rPr>
        <w:t xml:space="preserve">Security review of changes with security impact; secure configuration verified before go-live; segregation between development, test and production — see IT Policy 5.3.</w:t>
      </w:r>
    </w:p>
    <w:p>
      <w:pPr>
        <w:pStyle w:val="Heading2"/>
        <w:spacing w:after="100" w:before="200"/>
      </w:pPr>
      <w:r>
        <w:rPr>
          <w:rFonts w:ascii="Arial" w:cs="Arial" w:eastAsia="Arial" w:hAnsi="Arial"/>
        </w:rPr>
        <w:t xml:space="preserve">5.3 Backup and recovery</w:t>
      </w:r>
    </w:p>
    <w:p>
      <w:pPr>
        <w:pStyle w:val="ListParagraph"/>
        <w:numPr>
          <w:ilvl w:val="0"/>
          <w:numId w:val="2"/>
        </w:numPr>
        <w:spacing w:after="60" w:line="264"/>
      </w:pPr>
      <w:r>
        <w:rPr>
          <w:rFonts w:ascii="Arial" w:cs="Arial" w:eastAsia="Arial" w:hAnsi="Arial"/>
        </w:rPr>
        <w:t xml:space="preserve">Encrypted, access-controlled backups with at least one immutable / isolated copy; quarterly restore tests — see IT Policy 5.4 and BCP &amp; DR Policy.</w:t>
      </w:r>
    </w:p>
    <w:p>
      <w:pPr>
        <w:pStyle w:val="Heading2"/>
        <w:spacing w:after="100" w:before="200"/>
      </w:pPr>
      <w:r>
        <w:rPr>
          <w:rFonts w:ascii="Arial" w:cs="Arial" w:eastAsia="Arial" w:hAnsi="Arial"/>
        </w:rPr>
        <w:t xml:space="preserve">5.4 Automated batch jobs</w:t>
      </w:r>
    </w:p>
    <w:p>
      <w:pPr>
        <w:pStyle w:val="ListParagraph"/>
        <w:numPr>
          <w:ilvl w:val="0"/>
          <w:numId w:val="2"/>
        </w:numPr>
        <w:spacing w:after="60" w:line="264"/>
      </w:pPr>
      <w:r>
        <w:rPr>
          <w:rFonts w:ascii="Arial" w:cs="Arial" w:eastAsia="Arial" w:hAnsi="Arial"/>
        </w:rPr>
        <w:t xml:space="preserve">Scheduler access restricted; integrity of files exchanged with service providers protected by encryption and checksums; failures monitored — see IT Policy 5.5.</w:t>
      </w:r>
    </w:p>
    <w:p>
      <w:pPr>
        <w:pStyle w:val="Heading2"/>
        <w:spacing w:after="100" w:before="200"/>
      </w:pPr>
      <w:r>
        <w:rPr>
          <w:rFonts w:ascii="Arial" w:cs="Arial" w:eastAsia="Arial" w:hAnsi="Arial"/>
        </w:rPr>
        <w:t xml:space="preserve">5.5 Incident management (including security incidents)</w:t>
      </w:r>
    </w:p>
    <w:p>
      <w:pPr>
        <w:pStyle w:val="ListParagraph"/>
        <w:numPr>
          <w:ilvl w:val="0"/>
          <w:numId w:val="2"/>
        </w:numPr>
        <w:spacing w:after="60" w:line="264"/>
      </w:pPr>
      <w:r>
        <w:rPr>
          <w:rFonts w:ascii="Arial" w:cs="Arial" w:eastAsia="Arial" w:hAnsi="Arial"/>
        </w:rPr>
        <w:t xml:space="preserve">A Cyber Crisis Management Plan defines detection, triage, containment, eradication, recovery and lessons learnt, with playbooks for ransomware, phishing / account compromise, data leakage and DDoS.</w:t>
      </w:r>
    </w:p>
    <w:p>
      <w:pPr>
        <w:pStyle w:val="ListParagraph"/>
        <w:numPr>
          <w:ilvl w:val="0"/>
          <w:numId w:val="2"/>
        </w:numPr>
        <w:spacing w:after="60" w:line="264"/>
      </w:pPr>
      <w:r>
        <w:rPr>
          <w:rFonts w:ascii="Arial" w:cs="Arial" w:eastAsia="Arial" w:hAnsi="Arial"/>
        </w:rPr>
        <w:t xml:space="preserve">Cyber incidents are reported to CERT-In within 6 hours of noticing, and to SEBI and other authorities as required by CSCRF and the Master Circular; personal data breaches are reported to the Data Protection Board and affected persons as required by the DPDP Rules.</w:t>
      </w:r>
    </w:p>
    <w:p>
      <w:pPr>
        <w:pStyle w:val="ListParagraph"/>
        <w:numPr>
          <w:ilvl w:val="0"/>
          <w:numId w:val="2"/>
        </w:numPr>
        <w:spacing w:after="60" w:line="264"/>
      </w:pPr>
      <w:r>
        <w:rPr>
          <w:rFonts w:ascii="Arial" w:cs="Arial" w:eastAsia="Arial" w:hAnsi="Arial"/>
        </w:rPr>
        <w:t xml:space="preserve">Evidence is preserved (logs, images) for investigation; a root cause report is given to the IT Strategy Committee.</w:t>
      </w:r>
    </w:p>
    <w:p>
      <w:pPr>
        <w:pStyle w:val="Heading2"/>
        <w:spacing w:after="100" w:before="200"/>
      </w:pPr>
      <w:r>
        <w:rPr>
          <w:rFonts w:ascii="Arial" w:cs="Arial" w:eastAsia="Arial" w:hAnsi="Arial"/>
        </w:rPr>
        <w:t xml:space="preserve">5.6 Problem management</w:t>
      </w:r>
    </w:p>
    <w:p>
      <w:pPr>
        <w:pStyle w:val="ListParagraph"/>
        <w:numPr>
          <w:ilvl w:val="0"/>
          <w:numId w:val="2"/>
        </w:numPr>
        <w:spacing w:after="60" w:line="264"/>
      </w:pPr>
      <w:r>
        <w:rPr>
          <w:rFonts w:ascii="Arial" w:cs="Arial" w:eastAsia="Arial" w:hAnsi="Arial"/>
        </w:rPr>
        <w:t xml:space="preserve">Recurring security events are analysed for root cause and fixed permanently — see IT Policy 5.7.</w:t>
      </w:r>
    </w:p>
    <w:p>
      <w:pPr>
        <w:pStyle w:val="Heading2"/>
        <w:spacing w:after="100" w:before="200"/>
      </w:pPr>
      <w:r>
        <w:rPr>
          <w:rFonts w:ascii="Arial" w:cs="Arial" w:eastAsia="Arial" w:hAnsi="Arial"/>
        </w:rPr>
        <w:t xml:space="preserve">5.7 Data centre and cloud operations</w:t>
      </w:r>
    </w:p>
    <w:p>
      <w:pPr>
        <w:pStyle w:val="ListParagraph"/>
        <w:numPr>
          <w:ilvl w:val="0"/>
          <w:numId w:val="2"/>
        </w:numPr>
        <w:spacing w:after="60" w:line="264"/>
      </w:pPr>
      <w:r>
        <w:rPr>
          <w:rFonts w:ascii="Arial" w:cs="Arial" w:eastAsia="Arial" w:hAnsi="Arial"/>
        </w:rPr>
        <w:t xml:space="preserve">Cloud security: provider security baseline, cloud security posture management with the security score reviewed monthly, data residency in India for regulated data unless permitted otherwise, customer-managed keys where required, provider assurance reports reviewed yearly.</w:t>
      </w:r>
    </w:p>
    <w:p>
      <w:pPr>
        <w:pStyle w:val="Heading2"/>
        <w:spacing w:after="100" w:before="200"/>
      </w:pPr>
      <w:r>
        <w:rPr>
          <w:rFonts w:ascii="Arial" w:cs="Arial" w:eastAsia="Arial" w:hAnsi="Arial"/>
        </w:rPr>
        <w:t xml:space="preserve">5.8 Operating systems and database management</w:t>
      </w:r>
    </w:p>
    <w:p>
      <w:pPr>
        <w:pStyle w:val="ListParagraph"/>
        <w:numPr>
          <w:ilvl w:val="0"/>
          <w:numId w:val="2"/>
        </w:numPr>
        <w:spacing w:after="60" w:line="264"/>
      </w:pPr>
      <w:r>
        <w:rPr>
          <w:rFonts w:ascii="Arial" w:cs="Arial" w:eastAsia="Arial" w:hAnsi="Arial"/>
        </w:rPr>
        <w:t xml:space="preserve">Hardened builds, patching timelines and restricted DBA access — see Hardening Standard (AAML-IS-STD-02) and IT Policy 5.9. Database activity on investor data is logged.</w:t>
      </w:r>
    </w:p>
    <w:p>
      <w:pPr>
        <w:pStyle w:val="Heading2"/>
        <w:spacing w:after="100" w:before="200"/>
      </w:pPr>
      <w:r>
        <w:rPr>
          <w:rFonts w:ascii="Arial" w:cs="Arial" w:eastAsia="Arial" w:hAnsi="Arial"/>
        </w:rPr>
        <w:t xml:space="preserve">5.9 Network and communication management</w:t>
      </w:r>
    </w:p>
    <w:p>
      <w:pPr>
        <w:pStyle w:val="ListParagraph"/>
        <w:numPr>
          <w:ilvl w:val="0"/>
          <w:numId w:val="2"/>
        </w:numPr>
        <w:spacing w:after="60" w:line="264"/>
      </w:pPr>
      <w:r>
        <w:rPr>
          <w:rFonts w:ascii="Arial" w:cs="Arial" w:eastAsia="Arial" w:hAnsi="Arial"/>
        </w:rPr>
        <w:t xml:space="preserve">Default-deny firewalls, network segmentation, secure remote access with MFA, encryption in transit (TLS 1.2 or higher), email security (SPF, DKIM, DMARC, anti-phishing) — see IT Policy 5.10.</w:t>
      </w:r>
    </w:p>
    <w:p>
      <w:pPr>
        <w:pStyle w:val="Heading2"/>
        <w:spacing w:after="100" w:before="200"/>
      </w:pPr>
      <w:r>
        <w:rPr>
          <w:rFonts w:ascii="Arial" w:cs="Arial" w:eastAsia="Arial" w:hAnsi="Arial"/>
        </w:rPr>
        <w:t xml:space="preserve">5.10 End-user computing</w:t>
      </w:r>
    </w:p>
    <w:p>
      <w:pPr>
        <w:pStyle w:val="ListParagraph"/>
        <w:numPr>
          <w:ilvl w:val="0"/>
          <w:numId w:val="2"/>
        </w:numPr>
        <w:spacing w:after="60" w:line="264"/>
      </w:pPr>
      <w:r>
        <w:rPr>
          <w:rFonts w:ascii="Arial" w:cs="Arial" w:eastAsia="Arial" w:hAnsi="Arial"/>
        </w:rPr>
        <w:t xml:space="preserve">Managed and encrypted devices with EDR; USB storage blocked; data loss prevention on email and file storage for investor personal data; phones, faxes, photocopiers and scanners configured to prevent unauthorised retention or forwarding of documents; clean-desk and clear-screen rules.</w:t>
      </w:r>
    </w:p>
    <w:p>
      <w:pPr>
        <w:pStyle w:val="Heading2"/>
        <w:spacing w:after="100" w:before="200"/>
      </w:pPr>
      <w:r>
        <w:rPr>
          <w:rFonts w:ascii="Arial" w:cs="Arial" w:eastAsia="Arial" w:hAnsi="Arial"/>
        </w:rPr>
        <w:t xml:space="preserve">5.11 Security operations — logging and monitoring</w:t>
      </w:r>
    </w:p>
    <w:p>
      <w:pPr>
        <w:pStyle w:val="ListParagraph"/>
        <w:numPr>
          <w:ilvl w:val="0"/>
          <w:numId w:val="2"/>
        </w:numPr>
        <w:spacing w:after="60" w:line="264"/>
      </w:pPr>
      <w:r>
        <w:rPr>
          <w:rFonts w:ascii="Arial" w:cs="Arial" w:eastAsia="Arial" w:hAnsi="Arial"/>
        </w:rPr>
        <w:t xml:space="preserve">Security logs from identity, email and collaboration, cloud, application servers and databases, firewalls and endpoints are collected centrally (SIEM) and monitored by a Security Operations Centre (in-house or managed / market SOC as permitted under CSCRF).</w:t>
      </w:r>
    </w:p>
    <w:p>
      <w:pPr>
        <w:pStyle w:val="ListParagraph"/>
        <w:numPr>
          <w:ilvl w:val="0"/>
          <w:numId w:val="2"/>
        </w:numPr>
        <w:spacing w:after="60" w:line="264"/>
      </w:pPr>
      <w:r>
        <w:rPr>
          <w:rFonts w:ascii="Arial" w:cs="Arial" w:eastAsia="Arial" w:hAnsi="Arial"/>
        </w:rPr>
        <w:t xml:space="preserve">Logs are time-synchronised to an Indian standard time source and retained for at least 180 days online in India (CERT-In), and longer where SEBI or CSCRF require.</w:t>
      </w:r>
    </w:p>
    <w:p>
      <w:pPr>
        <w:pStyle w:val="ListParagraph"/>
        <w:numPr>
          <w:ilvl w:val="0"/>
          <w:numId w:val="2"/>
        </w:numPr>
        <w:spacing w:after="60" w:line="264"/>
      </w:pPr>
      <w:r>
        <w:rPr>
          <w:rFonts w:ascii="Arial" w:cs="Arial" w:eastAsia="Arial" w:hAnsi="Arial"/>
        </w:rPr>
        <w:t xml:space="preserve">Alerts are triaged against defined use cases; high-severity alerts are handled 24x7.</w:t>
      </w:r>
    </w:p>
    <w:p>
      <w:pPr>
        <w:pStyle w:val="Heading1"/>
        <w:spacing w:after="120" w:before="280"/>
      </w:pPr>
      <w:r>
        <w:rPr>
          <w:rFonts w:ascii="Arial" w:cs="Arial" w:eastAsia="Arial" w:hAnsi="Arial"/>
        </w:rPr>
        <w:t xml:space="preserve">6. Awareness and training</w:t>
      </w:r>
    </w:p>
    <w:p>
      <w:pPr>
        <w:pStyle w:val="ListParagraph"/>
        <w:numPr>
          <w:ilvl w:val="0"/>
          <w:numId w:val="2"/>
        </w:numPr>
        <w:spacing w:after="60" w:line="264"/>
      </w:pPr>
      <w:r>
        <w:rPr>
          <w:rFonts w:ascii="Arial" w:cs="Arial" w:eastAsia="Arial" w:hAnsi="Arial"/>
        </w:rPr>
        <w:t xml:space="preserve">Security awareness on joining and every year for all staff; phishing simulations at least twice a year; role-based training for IT, privileged users and developers; Board members briefed on cyber risk every year.</w:t>
      </w:r>
    </w:p>
    <w:p>
      <w:pPr>
        <w:pStyle w:val="ListParagraph"/>
        <w:numPr>
          <w:ilvl w:val="0"/>
          <w:numId w:val="2"/>
        </w:numPr>
        <w:spacing w:after="60" w:line="264"/>
      </w:pPr>
      <w:r>
        <w:rPr>
          <w:rFonts w:ascii="Arial" w:cs="Arial" w:eastAsia="Arial" w:hAnsi="Arial"/>
        </w:rPr>
        <w:t xml:space="preserve">Completion is tracked and reported to the Information Security Steering Committee.</w:t>
      </w:r>
    </w:p>
    <w:p>
      <w:pPr>
        <w:pStyle w:val="Heading1"/>
        <w:spacing w:after="120" w:before="280"/>
      </w:pPr>
      <w:r>
        <w:rPr>
          <w:rFonts w:ascii="Arial" w:cs="Arial" w:eastAsia="Arial" w:hAnsi="Arial"/>
        </w:rPr>
        <w:t xml:space="preserve">7. Supporting procedures and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Document</w:t>
            </w:r>
          </w:p>
        </w:tc>
        <w:tc>
          <w:tcPr>
            <w:tcW w:type="dxa" w:w="2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ID</w:t>
            </w:r>
          </w:p>
        </w:tc>
      </w:tr>
      <w:tr>
        <w:trPr>
          <w:tblHeader w:val="false"/>
        </w:trPr>
        <w:tc>
          <w:tcPr>
            <w:tcW w:type="dxa" w:w="6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System Hardening Standard</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AAML-IS-STD-02</w:t>
            </w:r>
          </w:p>
        </w:tc>
      </w:tr>
      <w:tr>
        <w:trPr>
          <w:tblHeader w:val="false"/>
        </w:trPr>
        <w:tc>
          <w:tcPr>
            <w:tcW w:type="dxa" w:w="6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Cryptography and Key Management Procedure</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AAML-IS-PRC-03</w:t>
            </w:r>
          </w:p>
        </w:tc>
      </w:tr>
      <w:tr>
        <w:trPr>
          <w:tblHeader w:val="false"/>
        </w:trPr>
        <w:tc>
          <w:tcPr>
            <w:tcW w:type="dxa" w:w="6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Third-Party Security Procedure</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AAML-IS-PRC-04</w:t>
            </w:r>
          </w:p>
        </w:tc>
      </w:tr>
      <w:tr>
        <w:trPr>
          <w:tblHeader w:val="false"/>
        </w:trPr>
        <w:tc>
          <w:tcPr>
            <w:tcW w:type="dxa" w:w="6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Human Resource Security Procedure</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AAML-IS-PRC-05</w:t>
            </w:r>
          </w:p>
        </w:tc>
      </w:tr>
      <w:tr>
        <w:trPr>
          <w:tblHeader w:val="false"/>
        </w:trPr>
        <w:tc>
          <w:tcPr>
            <w:tcW w:type="dxa" w:w="6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Information Classification and Handling Procedure</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AAML-IS-PRC-06</w:t>
            </w:r>
          </w:p>
        </w:tc>
      </w:tr>
      <w:tr>
        <w:trPr>
          <w:tblHeader w:val="false"/>
        </w:trPr>
        <w:tc>
          <w:tcPr>
            <w:tcW w:type="dxa" w:w="6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Privacy Policy</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AAML-IS-POL-07</w:t>
            </w:r>
          </w:p>
        </w:tc>
      </w:tr>
      <w:tr>
        <w:trPr>
          <w:tblHeader w:val="false"/>
        </w:trPr>
        <w:tc>
          <w:tcPr>
            <w:tcW w:type="dxa" w:w="6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Social Media Usage Policy</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AAML-IS-POL-08</w:t>
            </w:r>
          </w:p>
        </w:tc>
      </w:tr>
      <w:tr>
        <w:trPr>
          <w:tblHeader w:val="false"/>
        </w:trPr>
        <w:tc>
          <w:tcPr>
            <w:tcW w:type="dxa" w:w="6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Vendor Management Framework</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AAML-IS-POL-09</w:t>
            </w:r>
          </w:p>
        </w:tc>
      </w:tr>
    </w:tbl>
    <w:p>
      <w:pPr>
        <w:spacing w:after="120" w:line="276"/>
      </w:pPr>
    </w:p>
    <w:p>
      <w:pPr>
        <w:pStyle w:val="Heading1"/>
        <w:spacing w:after="120" w:before="280"/>
      </w:pPr>
      <w:r>
        <w:rPr>
          <w:rFonts w:ascii="Arial" w:cs="Arial" w:eastAsia="Arial" w:hAnsi="Arial"/>
        </w:rPr>
        <w:t xml:space="preserve">References</w:t>
      </w:r>
    </w:p>
    <w:p>
      <w:pPr>
        <w:pStyle w:val="ListParagraph"/>
        <w:numPr>
          <w:ilvl w:val="0"/>
          <w:numId w:val="2"/>
        </w:numPr>
        <w:spacing w:after="60" w:line="264"/>
      </w:pPr>
      <w:r>
        <w:rPr>
          <w:rFonts w:ascii="Arial" w:cs="Arial" w:eastAsia="Arial" w:hAnsi="Arial"/>
        </w:rPr>
        <w:t xml:space="preserve">SEBI (Mutual Funds) Regulations, 1996 and the SEBI Master Circular for Mutual Funds, as amended from time to time, including the provisions on system audit, IT governance and technology committees</w:t>
      </w:r>
    </w:p>
    <w:p>
      <w:pPr>
        <w:pStyle w:val="ListParagraph"/>
        <w:numPr>
          <w:ilvl w:val="0"/>
          <w:numId w:val="2"/>
        </w:numPr>
        <w:spacing w:after="60" w:line="264"/>
      </w:pPr>
      <w:r>
        <w:rPr>
          <w:rFonts w:ascii="Arial" w:cs="Arial" w:eastAsia="Arial" w:hAnsi="Arial"/>
        </w:rPr>
        <w:t xml:space="preserve">SEBI Cybersecurity and Cyber Resilience Framework (CSCRF) for SEBI Regulated Entities, circular dated 20 August 2024, with its clarifications and amendments</w:t>
      </w:r>
    </w:p>
    <w:p>
      <w:pPr>
        <w:pStyle w:val="ListParagraph"/>
        <w:numPr>
          <w:ilvl w:val="0"/>
          <w:numId w:val="2"/>
        </w:numPr>
        <w:spacing w:after="60" w:line="264"/>
      </w:pPr>
      <w:r>
        <w:rPr>
          <w:rFonts w:ascii="Arial" w:cs="Arial" w:eastAsia="Arial" w:hAnsi="Arial"/>
        </w:rPr>
        <w:t xml:space="preserve">Information Technology Act, 2000 and the CERT-In Directions of 28 April 2022 (including 6-hour incident reporting and 180-day log retention)</w:t>
      </w:r>
    </w:p>
    <w:p>
      <w:pPr>
        <w:pStyle w:val="ListParagraph"/>
        <w:numPr>
          <w:ilvl w:val="0"/>
          <w:numId w:val="2"/>
        </w:numPr>
        <w:spacing w:after="60" w:line="264"/>
      </w:pPr>
      <w:r>
        <w:rPr>
          <w:rFonts w:ascii="Arial" w:cs="Arial" w:eastAsia="Arial" w:hAnsi="Arial"/>
        </w:rPr>
        <w:t xml:space="preserve">Digital Personal Data Protection Act, 2023 and the Digital Personal Data Protection Rules, 2025</w:t>
      </w:r>
    </w:p>
    <w:p>
      <w:pPr>
        <w:pStyle w:val="ListParagraph"/>
        <w:numPr>
          <w:ilvl w:val="0"/>
          <w:numId w:val="2"/>
        </w:numPr>
        <w:spacing w:after="60" w:line="264"/>
      </w:pPr>
      <w:r>
        <w:rPr>
          <w:rFonts w:ascii="Arial" w:cs="Arial" w:eastAsia="Arial" w:hAnsi="Arial"/>
        </w:rPr>
        <w:t xml:space="preserve">ISO/IEC 27001:2022 and ISO 22301:2019 (used as good-practice references, not for certification unless decided by the Board)</w:t>
      </w:r>
    </w:p>
    <w:p>
      <w:pPr>
        <w:pStyle w:val="Heading1"/>
        <w:spacing w:after="120" w:before="280"/>
      </w:pPr>
      <w:r>
        <w:rPr>
          <w:rFonts w:ascii="Arial" w:cs="Arial" w:eastAsia="Arial" w:hAnsi="Arial"/>
        </w:rPr>
        <w:t xml:space="preserve">Compliance, monitoring and exceptions</w:t>
      </w:r>
    </w:p>
    <w:p>
      <w:pPr>
        <w:pStyle w:val="ListParagraph"/>
        <w:numPr>
          <w:ilvl w:val="0"/>
          <w:numId w:val="2"/>
        </w:numPr>
        <w:spacing w:after="60" w:line="264"/>
      </w:pPr>
      <w:r>
        <w:rPr>
          <w:rFonts w:ascii="Arial" w:cs="Arial" w:eastAsia="Arial" w:hAnsi="Arial"/>
        </w:rPr>
        <w:t xml:space="preserve">Compliance with this document is monitored by the CISO and reviewed independently by Internal Audit and the annual SEBI system audit.</w:t>
      </w:r>
    </w:p>
    <w:p>
      <w:pPr>
        <w:pStyle w:val="ListParagraph"/>
        <w:numPr>
          <w:ilvl w:val="0"/>
          <w:numId w:val="2"/>
        </w:numPr>
        <w:spacing w:after="60" w:line="264"/>
      </w:pPr>
      <w:r>
        <w:rPr>
          <w:rFonts w:ascii="Arial" w:cs="Arial" w:eastAsia="Arial" w:hAnsi="Arial"/>
        </w:rPr>
        <w:t xml:space="preserve">Any exception must be requested in writing with the business reason, the risk, compensating controls and an end date. Exceptions are approved by the CISO (security) or the Head of IT (operations), recorded in the exception register and reported to the IT Strategy Committee every quarter. No exception may run beyond 12 months without re-approval.</w:t>
      </w:r>
    </w:p>
    <w:p>
      <w:pPr>
        <w:pStyle w:val="ListParagraph"/>
        <w:numPr>
          <w:ilvl w:val="0"/>
          <w:numId w:val="2"/>
        </w:numPr>
        <w:spacing w:after="60" w:line="264"/>
      </w:pPr>
      <w:r>
        <w:rPr>
          <w:rFonts w:ascii="Arial" w:cs="Arial" w:eastAsia="Arial" w:hAnsi="Arial"/>
        </w:rPr>
        <w:t xml:space="preserve">Breach of this document by an employee may lead to disciplinary action under the Company's HR policies; breach by a service provider is handled under the contract.</w:t>
      </w:r>
    </w:p>
    <w:p>
      <w:pPr>
        <w:pStyle w:val="Heading1"/>
        <w:spacing w:after="120" w:before="280"/>
      </w:pPr>
      <w:r>
        <w:rPr>
          <w:rFonts w:ascii="Arial" w:cs="Arial" w:eastAsia="Arial" w:hAnsi="Arial"/>
        </w:rPr>
        <w:t xml:space="preserve">Review</w:t>
      </w:r>
    </w:p>
    <w:p>
      <w:pPr>
        <w:spacing w:after="120" w:line="276"/>
      </w:pPr>
      <w:r>
        <w:rPr>
          <w:rFonts w:ascii="Arial" w:cs="Arial" w:eastAsia="Arial" w:hAnsi="Arial"/>
        </w:rPr>
        <w:t xml:space="preserve">This document is reviewed at least once a year, and earlier when there is a significant change in SEBI or other regulation, in the Company's technology, service providers or business, or after a significant incident. Changes are recommended by the IT Strategy Committee and approved by the Board.</w:t>
      </w:r>
    </w:p>
    <w:p>
      <w:pPr>
        <w:pStyle w:val="Heading1"/>
        <w:spacing w:after="120" w:before="280"/>
      </w:pPr>
      <w:r>
        <w:rPr>
          <w:rFonts w:ascii="Arial" w:cs="Arial" w:eastAsia="Arial" w:hAnsi="Arial"/>
        </w:rPr>
        <w:t xml:space="preserve">Annexure — Mapping to the SEBI system audit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Checklist point</w:t>
            </w:r>
          </w:p>
        </w:tc>
        <w:tc>
          <w:tcPr>
            <w:tcW w:type="dxa" w:w="45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3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Section of this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2a</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Information security function, CISO</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3</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Information security framework / policy</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Whole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(a)</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Access management — physical and logical</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5.1</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(b)</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Infrastructure and application change management</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5.2</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(c)</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Backup and recovery</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5.3</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(d)</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Automated batch jobs</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5.4</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(e)</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Incident management (including security incidents)</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5.5</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(f)</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Problem management</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5.6</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(g)</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Data centre operations</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5.7</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(h)</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Operating systems and database management</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5.8</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(i)</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Network and communication management</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5.9</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(j)</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End-user computing (phones, printers, scanners)</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5.10</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(k)</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Security operations — logging and monitoring</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5.11</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2c</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Information security risk management</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4</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2d</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Cyber security (CSCRF)</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Sections 3–6</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2e</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Awareness and training</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6</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A3"/>
        <w:sz w:val="16"/>
        <w:szCs w:val="16"/>
      </w:rPr>
      <w:t xml:space="preserve">Internal · </w:t>
    </w:r>
    <w:r>
      <w:rPr>
        <w:rFonts w:ascii="Arial" w:cs="Arial" w:eastAsia="Arial" w:hAnsi="Arial"/>
        <w:color w:val="8A93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3A3"/>
        <w:sz w:val="16"/>
        <w:szCs w:val="16"/>
      </w:rPr>
      <w:t xml:space="preserve">Ashika Asset Management Limited · Information Security Policy and Framework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 and Framework</dc:title>
  <dc:creator>Ashika Asset Management Limited</dc:creator>
  <dc:description>Draft policy</dc:description>
  <cp:lastModifiedBy>Un-named</cp:lastModifiedBy>
  <cp:revision>1</cp:revision>
  <dcterms:created xsi:type="dcterms:W3CDTF">2026-10-29T16:44:47.278Z</dcterms:created>
  <dcterms:modified xsi:type="dcterms:W3CDTF">2026-10-29T16:44:47.278Z</dcterms:modified>
</cp:coreProperties>
</file>

<file path=docProps/custom.xml><?xml version="1.0" encoding="utf-8"?>
<Properties xmlns="http://schemas.openxmlformats.org/officeDocument/2006/custom-properties" xmlns:vt="http://schemas.openxmlformats.org/officeDocument/2006/docPropsVTypes"/>
</file>