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System Hardening Standard</w:t>
      </w:r>
    </w:p>
    <w:p>
      <w:pPr>
        <w:spacing w:after="600"/>
      </w:pPr>
      <w:r>
        <w:rPr>
          <w:rFonts w:ascii="Arial" w:cs="Arial" w:eastAsia="Arial" w:hAnsi="Arial"/>
          <w:color w:val="475467"/>
          <w:sz w:val="24"/>
          <w:szCs w:val="24"/>
        </w:rPr>
        <w:t xml:space="preserve">Minimum secure configuration for operating systems, databases, servers, cloud and network devices</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System Hardening Standard</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AAML-IS-STD-02</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CISO</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Security Steering Committee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 and scope</w:t>
      </w:r>
    </w:p>
    <w:p>
      <w:pPr>
        <w:spacing w:after="80"/>
      </w:pPr>
      <w:r>
        <w:rPr>
          <w:rFonts w:ascii="Arial" w:cs="Arial" w:eastAsia="Arial" w:hAnsi="Arial"/>
          <w:sz w:val="21"/>
          <w:szCs w:val="21"/>
        </w:rPr>
        <w:t xml:space="preserve">2. Baselines</w:t>
      </w:r>
    </w:p>
    <w:p>
      <w:pPr>
        <w:spacing w:after="80"/>
      </w:pPr>
      <w:r>
        <w:rPr>
          <w:rFonts w:ascii="Arial" w:cs="Arial" w:eastAsia="Arial" w:hAnsi="Arial"/>
          <w:sz w:val="21"/>
          <w:szCs w:val="21"/>
        </w:rPr>
        <w:t xml:space="preserve">3. Process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 and scope</w:t>
      </w:r>
    </w:p>
    <w:p>
      <w:pPr>
        <w:spacing w:after="120" w:line="276"/>
      </w:pPr>
      <w:r>
        <w:rPr>
          <w:rFonts w:ascii="Arial" w:cs="Arial" w:eastAsia="Arial" w:hAnsi="Arial"/>
        </w:rPr>
        <w:t xml:space="preserve">Defines the minimum security configuration before any system goes into production and how compliance is checked. Applies to Windows and Linux servers, databases, cloud services, email and collaboration tenant settings, network and security devices, and end-user devices.</w:t>
      </w:r>
    </w:p>
    <w:p>
      <w:pPr>
        <w:pStyle w:val="Heading1"/>
        <w:spacing w:after="120" w:before="280"/>
      </w:pPr>
      <w:r>
        <w:rPr>
          <w:rFonts w:ascii="Arial" w:cs="Arial" w:eastAsia="Arial" w:hAnsi="Arial"/>
        </w:rPr>
        <w:t xml:space="preserve">2. Baselines</w:t>
      </w:r>
    </w:p>
    <w:p>
      <w:pPr>
        <w:spacing w:after="120" w:line="276"/>
      </w:pPr>
      <w:r>
        <w:rPr>
          <w:rFonts w:ascii="Arial" w:cs="Arial" w:eastAsia="Arial" w:hAnsi="Arial"/>
        </w:rPr>
        <w:t xml:space="preserve">The Company adopts the latest CIS Benchmarks (Level 1 as minimum) and the platform providers' published security baselines as its reference, with documented deviations.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tblHeader/>
        </w:trPr>
        <w:tc>
          <w:tcPr>
            <w:tcW w:type="dxa" w:w="17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Platform</w:t>
            </w:r>
          </w:p>
        </w:tc>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Baseline</w:t>
            </w:r>
          </w:p>
        </w:tc>
        <w:tc>
          <w:tcPr>
            <w:tcW w:type="dxa" w:w="47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Key settings (minimum)</w:t>
            </w:r>
          </w:p>
        </w:tc>
      </w:tr>
      <w:tr>
        <w:trPr>
          <w:tblHeader w:val="false"/>
        </w:trPr>
        <w:tc>
          <w:tcPr>
            <w:tcW w:type="dxa" w:w="1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Windows Server</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 Windows Server L1 / vendor baseline</w:t>
            </w:r>
          </w:p>
        </w:tc>
        <w:tc>
          <w:tcPr>
            <w:tcW w:type="dxa" w:w="47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Unused services and roles removed; local admin renamed and its password managed; SMBv1 off; audit policy on; EDR agent</w:t>
            </w:r>
          </w:p>
        </w:tc>
      </w:tr>
      <w:tr>
        <w:trPr>
          <w:tblHeader w:val="false"/>
        </w:trPr>
        <w:tc>
          <w:tcPr>
            <w:tcW w:type="dxa" w:w="1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Linux</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 distribution benchmark L1</w:t>
            </w:r>
          </w:p>
        </w:tc>
        <w:tc>
          <w:tcPr>
            <w:tcW w:type="dxa" w:w="47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SSH key-based, root login off; unnecessary packages removed; auditd; host firewall</w:t>
            </w:r>
          </w:p>
        </w:tc>
      </w:tr>
      <w:tr>
        <w:trPr>
          <w:tblHeader w:val="false"/>
        </w:trPr>
        <w:tc>
          <w:tcPr>
            <w:tcW w:type="dxa" w:w="1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Databases</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 benchmark for the DB engine</w:t>
            </w:r>
          </w:p>
        </w:tc>
        <w:tc>
          <w:tcPr>
            <w:tcW w:type="dxa" w:w="47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Default accounts disabled / renamed; least-privilege roles; TDE / encryption at rest; auditing of privileged and investor-data access</w:t>
            </w:r>
          </w:p>
        </w:tc>
      </w:tr>
      <w:tr>
        <w:trPr>
          <w:tblHeader w:val="false"/>
        </w:trPr>
        <w:tc>
          <w:tcPr>
            <w:tcW w:type="dxa" w:w="1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Public cloud</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 / provider cloud security benchmark</w:t>
            </w:r>
          </w:p>
        </w:tc>
        <w:tc>
          <w:tcPr>
            <w:tcW w:type="dxa" w:w="47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Posture management on; no public IPs on servers unless approved; private endpoints; default-deny network rules; managed key vault for secrets; diagnostic logs to SIEM</w:t>
            </w:r>
          </w:p>
        </w:tc>
      </w:tr>
      <w:tr>
        <w:trPr>
          <w:tblHeader w:val="false"/>
        </w:trPr>
        <w:tc>
          <w:tcPr>
            <w:tcW w:type="dxa" w:w="1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Email and collaboration (SaaS)</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 benchmark for the platform</w:t>
            </w:r>
          </w:p>
        </w:tc>
        <w:tc>
          <w:tcPr>
            <w:tcW w:type="dxa" w:w="47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MFA / conditional access for all; legacy authentication blocked; external sharing restricted; mailbox auditing; DLP and sensitivity labels</w:t>
            </w:r>
          </w:p>
        </w:tc>
      </w:tr>
      <w:tr>
        <w:trPr>
          <w:tblHeader w:val="false"/>
        </w:trPr>
        <w:tc>
          <w:tcPr>
            <w:tcW w:type="dxa" w:w="1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Network devices</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 / vendor guidance</w:t>
            </w:r>
          </w:p>
        </w:tc>
        <w:tc>
          <w:tcPr>
            <w:tcW w:type="dxa" w:w="47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Default passwords changed; management over secure protocols only; unused ports disabled; config backup; logging to SIEM</w:t>
            </w:r>
          </w:p>
        </w:tc>
      </w:tr>
      <w:tr>
        <w:trPr>
          <w:tblHeader w:val="false"/>
        </w:trPr>
        <w:tc>
          <w:tcPr>
            <w:tcW w:type="dxa" w:w="1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End-user devices</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 / endpoint-management baseline</w:t>
            </w:r>
          </w:p>
        </w:tc>
        <w:tc>
          <w:tcPr>
            <w:tcW w:type="dxa" w:w="47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Full-disk encryption; EDR; firewall; no local admin; USB storage blocked; auto-lock 10 minutes</w:t>
            </w:r>
          </w:p>
        </w:tc>
      </w:tr>
    </w:tbl>
    <w:p>
      <w:pPr>
        <w:spacing w:after="120" w:line="276"/>
      </w:pPr>
    </w:p>
    <w:p>
      <w:pPr>
        <w:pStyle w:val="Heading1"/>
        <w:spacing w:after="120" w:before="280"/>
      </w:pPr>
      <w:r>
        <w:rPr>
          <w:rFonts w:ascii="Arial" w:cs="Arial" w:eastAsia="Arial" w:hAnsi="Arial"/>
        </w:rPr>
        <w:t xml:space="preserve">3. Process</w:t>
      </w:r>
    </w:p>
    <w:p>
      <w:pPr>
        <w:pStyle w:val="ListParagraph"/>
        <w:numPr>
          <w:ilvl w:val="0"/>
          <w:numId w:val="2"/>
        </w:numPr>
        <w:spacing w:after="60" w:line="264"/>
      </w:pPr>
      <w:r>
        <w:rPr>
          <w:rFonts w:ascii="Arial" w:cs="Arial" w:eastAsia="Arial" w:hAnsi="Arial"/>
        </w:rPr>
        <w:t xml:space="preserve">Build from the approved image / template that already applies the baseline.</w:t>
      </w:r>
    </w:p>
    <w:p>
      <w:pPr>
        <w:pStyle w:val="ListParagraph"/>
        <w:numPr>
          <w:ilvl w:val="0"/>
          <w:numId w:val="2"/>
        </w:numPr>
        <w:spacing w:after="60" w:line="264"/>
      </w:pPr>
      <w:r>
        <w:rPr>
          <w:rFonts w:ascii="Arial" w:cs="Arial" w:eastAsia="Arial" w:hAnsi="Arial"/>
        </w:rPr>
        <w:t xml:space="preserve">Run a configuration / vulnerability scan before go-live; fix failures or record an approved deviation.</w:t>
      </w:r>
    </w:p>
    <w:p>
      <w:pPr>
        <w:pStyle w:val="ListParagraph"/>
        <w:numPr>
          <w:ilvl w:val="0"/>
          <w:numId w:val="2"/>
        </w:numPr>
        <w:spacing w:after="60" w:line="264"/>
      </w:pPr>
      <w:r>
        <w:rPr>
          <w:rFonts w:ascii="Arial" w:cs="Arial" w:eastAsia="Arial" w:hAnsi="Arial"/>
        </w:rPr>
        <w:t xml:space="preserve">Record the system in the asset register with its baseline version.</w:t>
      </w:r>
    </w:p>
    <w:p>
      <w:pPr>
        <w:pStyle w:val="ListParagraph"/>
        <w:numPr>
          <w:ilvl w:val="0"/>
          <w:numId w:val="2"/>
        </w:numPr>
        <w:spacing w:after="60" w:line="264"/>
      </w:pPr>
      <w:r>
        <w:rPr>
          <w:rFonts w:ascii="Arial" w:cs="Arial" w:eastAsia="Arial" w:hAnsi="Arial"/>
        </w:rPr>
        <w:t xml:space="preserve">Re-scan at least monthly; drift is fixed within the patch timelines in the IT Policy.</w:t>
      </w:r>
    </w:p>
    <w:p>
      <w:pPr>
        <w:pStyle w:val="ListParagraph"/>
        <w:numPr>
          <w:ilvl w:val="0"/>
          <w:numId w:val="2"/>
        </w:numPr>
        <w:spacing w:after="60" w:line="264"/>
      </w:pPr>
      <w:r>
        <w:rPr>
          <w:rFonts w:ascii="Arial" w:cs="Arial" w:eastAsia="Arial" w:hAnsi="Arial"/>
        </w:rPr>
        <w:t xml:space="preserve">Review baselines every year and when a new benchmark version is published.</w:t>
      </w:r>
    </w:p>
    <w:p>
      <w:pPr>
        <w:pStyle w:val="Heading1"/>
        <w:spacing w:after="120" w:before="280"/>
      </w:pPr>
      <w:r>
        <w:rPr>
          <w:rFonts w:ascii="Arial" w:cs="Arial" w:eastAsia="Arial" w:hAnsi="Arial"/>
        </w:rPr>
        <w:t xml:space="preserve">Compliance, monitoring and exceptions</w:t>
      </w:r>
    </w:p>
    <w:p>
      <w:pPr>
        <w:pStyle w:val="ListParagraph"/>
        <w:numPr>
          <w:ilvl w:val="0"/>
          <w:numId w:val="3"/>
        </w:numPr>
        <w:spacing w:after="60" w:line="264"/>
      </w:pPr>
      <w:r>
        <w:rPr>
          <w:rFonts w:ascii="Arial" w:cs="Arial" w:eastAsia="Arial" w:hAnsi="Arial"/>
        </w:rPr>
        <w:t xml:space="preserve">Compliance with this document is monitored by the CISO and reviewed independently by Internal Audit and the annual SEBI system audit.</w:t>
      </w:r>
    </w:p>
    <w:p>
      <w:pPr>
        <w:pStyle w:val="ListParagraph"/>
        <w:numPr>
          <w:ilvl w:val="0"/>
          <w:numId w:val="3"/>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3"/>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(procedure a)</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Hardening procedures, standards and guidelines for OS, databases, servers and network devices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Whole document</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System Hardening Standard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Hardening Standard</dc:title>
  <dc:creator>Ashika Asset Management Limited</dc:creator>
  <dc:description>Draft policy</dc:description>
  <cp:lastModifiedBy>Un-named</cp:lastModifiedBy>
  <cp:revision>1</cp:revision>
  <dcterms:created xsi:type="dcterms:W3CDTF">2026-10-29T16:44:47.332Z</dcterms:created>
  <dcterms:modified xsi:type="dcterms:W3CDTF">2026-10-29T16:44:47.332Z</dcterms:modified>
</cp:coreProperties>
</file>

<file path=docProps/custom.xml><?xml version="1.0" encoding="utf-8"?>
<Properties xmlns="http://schemas.openxmlformats.org/officeDocument/2006/custom-properties" xmlns:vt="http://schemas.openxmlformats.org/officeDocument/2006/docPropsVTypes"/>
</file>