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475467"/>
          <w:sz w:val="26"/>
          <w:szCs w:val="26"/>
        </w:rPr>
        <w:t xml:space="preserve">Ashika Asset Management Limited</w:t>
      </w:r>
    </w:p>
    <w:p>
      <w:pPr>
        <w:spacing w:after="160"/>
      </w:pPr>
      <w:r>
        <w:rPr>
          <w:rFonts w:ascii="Arial" w:cs="Arial" w:eastAsia="Arial" w:hAnsi="Arial"/>
          <w:b/>
          <w:bCs/>
          <w:color w:val="1F3864"/>
          <w:sz w:val="44"/>
          <w:szCs w:val="44"/>
        </w:rPr>
        <w:t xml:space="preserve">Cryptography and Key Management Procedure</w:t>
      </w:r>
    </w:p>
    <w:p>
      <w:pPr>
        <w:spacing w:after="600"/>
      </w:pPr>
      <w:r>
        <w:rPr>
          <w:rFonts w:ascii="Arial" w:cs="Arial" w:eastAsia="Arial" w:hAnsi="Arial"/>
          <w:color w:val="475467"/>
          <w:sz w:val="24"/>
          <w:szCs w:val="24"/>
        </w:rPr>
        <w:t xml:space="preserve">Use of encryption, digital signatures and key management</w:t>
      </w:r>
    </w:p>
    <w:p>
      <w:pPr>
        <w:spacing w:after="200"/>
      </w:pPr>
      <w:r>
        <w:rPr>
          <w:rFonts w:ascii="Arial" w:cs="Arial" w:eastAsia="Arial" w:hAnsi="Arial"/>
          <w:i/>
          <w:iCs/>
          <w:color w:val="B54708"/>
          <w:sz w:val="20"/>
          <w:szCs w:val="20"/>
        </w:rPr>
        <w:t xml:space="preserve">DRAFT — for review by the IT Strategy Committee and approval by the Board. Text in [●] is to be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Item</w:t>
            </w:r>
          </w:p>
        </w:tc>
        <w:tc>
          <w:tcPr>
            <w:tcW w:type="dxa" w:w="64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Details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Cryptography and Key Management Procedure</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 ID</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AAML-IS-PRC-03</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Version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 — DRAFT for review</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Classification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Internal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Owner</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CISO</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Chief Information Security Officer (CISO); Compliance Officer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Information Security Steering Committee</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Effective date</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 (date of Board approval)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 frequency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At least once a year, and on any significant change in regulation, technology or business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Applies to</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Ashika Asset Management Limited (the "Company" / "AMC") and, where stated, its service providers</w:t>
            </w:r>
          </w:p>
        </w:tc>
      </w:tr>
    </w:tbl>
    <w:p>
      <w:pPr>
        <w:spacing w:after="120" w:line="276"/>
      </w:pPr>
    </w:p>
    <w:p>
      <w:pPr>
        <w:pStyle w:val="Heading2"/>
        <w:spacing w:after="100" w:before="200"/>
      </w:pPr>
      <w:r>
        <w:rPr>
          <w:rFonts w:ascii="Arial" w:cs="Arial" w:eastAsia="Arial" w:hAnsi="Arial"/>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3826"/>
        <w:gridCol w:w="2500"/>
      </w:tblGrid>
      <w:tr>
        <w:trPr>
          <w:tblHeader/>
        </w:trPr>
        <w:tc>
          <w:tcPr>
            <w:tcW w:type="dxa" w:w="11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Version</w:t>
            </w:r>
          </w:p>
        </w:tc>
        <w:tc>
          <w:tcPr>
            <w:tcW w:type="dxa" w:w="1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w:t>
            </w:r>
          </w:p>
        </w:tc>
        <w:tc>
          <w:tcPr>
            <w:tcW w:type="dxa" w:w="38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Change</w:t>
            </w:r>
          </w:p>
        </w:tc>
        <w:tc>
          <w:tcPr>
            <w:tcW w:type="dxa" w:w="2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Author / Approver</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First draft for review</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1.0</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bl>
    <w:p>
      <w:r>
        <w:br w:type="page"/>
      </w:r>
    </w:p>
    <w:p>
      <w:pPr>
        <w:spacing w:after="120"/>
      </w:pPr>
      <w:r>
        <w:rPr>
          <w:rFonts w:ascii="Arial" w:cs="Arial" w:eastAsia="Arial" w:hAnsi="Arial"/>
          <w:b/>
          <w:bCs/>
          <w:color w:val="1F3864"/>
          <w:sz w:val="28"/>
          <w:szCs w:val="28"/>
        </w:rPr>
        <w:t xml:space="preserve">Contents</w:t>
      </w:r>
    </w:p>
    <w:p>
      <w:pPr>
        <w:spacing w:after="80"/>
      </w:pPr>
      <w:r>
        <w:rPr>
          <w:rFonts w:ascii="Arial" w:cs="Arial" w:eastAsia="Arial" w:hAnsi="Arial"/>
          <w:sz w:val="21"/>
          <w:szCs w:val="21"/>
        </w:rPr>
        <w:t xml:space="preserve">1. Purpose and scope</w:t>
      </w:r>
    </w:p>
    <w:p>
      <w:pPr>
        <w:spacing w:after="80"/>
      </w:pPr>
      <w:r>
        <w:rPr>
          <w:rFonts w:ascii="Arial" w:cs="Arial" w:eastAsia="Arial" w:hAnsi="Arial"/>
          <w:sz w:val="21"/>
          <w:szCs w:val="21"/>
        </w:rPr>
        <w:t xml:space="preserve">2. Where encryption is required</w:t>
      </w:r>
    </w:p>
    <w:p>
      <w:pPr>
        <w:spacing w:after="80"/>
      </w:pPr>
      <w:r>
        <w:rPr>
          <w:rFonts w:ascii="Arial" w:cs="Arial" w:eastAsia="Arial" w:hAnsi="Arial"/>
          <w:sz w:val="21"/>
          <w:szCs w:val="21"/>
        </w:rPr>
        <w:t xml:space="preserve">3. Key management</w:t>
      </w:r>
    </w:p>
    <w:p>
      <w:pPr>
        <w:spacing w:after="80"/>
      </w:pPr>
      <w:r>
        <w:rPr>
          <w:rFonts w:ascii="Arial" w:cs="Arial" w:eastAsia="Arial" w:hAnsi="Arial"/>
          <w:sz w:val="21"/>
          <w:szCs w:val="21"/>
        </w:rPr>
        <w:t xml:space="preserve">4. Certificates and digital signatures</w:t>
      </w:r>
    </w:p>
    <w:p>
      <w:pPr>
        <w:spacing w:after="80"/>
      </w:pPr>
      <w:r>
        <w:rPr>
          <w:rFonts w:ascii="Arial" w:cs="Arial" w:eastAsia="Arial" w:hAnsi="Arial"/>
          <w:sz w:val="21"/>
          <w:szCs w:val="21"/>
        </w:rPr>
        <w:t xml:space="preserve">Compliance, monitoring and exceptions</w:t>
      </w:r>
    </w:p>
    <w:p>
      <w:pPr>
        <w:spacing w:after="80"/>
      </w:pPr>
      <w:r>
        <w:rPr>
          <w:rFonts w:ascii="Arial" w:cs="Arial" w:eastAsia="Arial" w:hAnsi="Arial"/>
          <w:sz w:val="21"/>
          <w:szCs w:val="21"/>
        </w:rPr>
        <w:t xml:space="preserve">Review</w:t>
      </w:r>
    </w:p>
    <w:p>
      <w:pPr>
        <w:spacing w:after="80"/>
      </w:pPr>
      <w:r>
        <w:rPr>
          <w:rFonts w:ascii="Arial" w:cs="Arial" w:eastAsia="Arial" w:hAnsi="Arial"/>
          <w:sz w:val="21"/>
          <w:szCs w:val="21"/>
        </w:rPr>
        <w:t xml:space="preserve">Annexure — Mapping to the SEBI system audit checklist</w:t>
      </w:r>
    </w:p>
    <w:p>
      <w:r>
        <w:br w:type="page"/>
      </w:r>
    </w:p>
    <w:p>
      <w:pPr>
        <w:pStyle w:val="Heading1"/>
        <w:spacing w:after="120" w:before="280"/>
      </w:pPr>
      <w:r>
        <w:rPr>
          <w:rFonts w:ascii="Arial" w:cs="Arial" w:eastAsia="Arial" w:hAnsi="Arial"/>
        </w:rPr>
        <w:t xml:space="preserve">1. Purpose and scope</w:t>
      </w:r>
    </w:p>
    <w:p>
      <w:pPr>
        <w:spacing w:after="120" w:line="276"/>
      </w:pPr>
      <w:r>
        <w:rPr>
          <w:rFonts w:ascii="Arial" w:cs="Arial" w:eastAsia="Arial" w:hAnsi="Arial"/>
        </w:rPr>
        <w:t xml:space="preserve">Sets the minimum use of cryptography to protect Company and investor data, and how keys and certificates are managed. Applies to all systems, cloud services and data exchanges, including with service providers.</w:t>
      </w:r>
    </w:p>
    <w:p>
      <w:pPr>
        <w:pStyle w:val="Heading1"/>
        <w:spacing w:after="120" w:before="280"/>
      </w:pPr>
      <w:r>
        <w:rPr>
          <w:rFonts w:ascii="Arial" w:cs="Arial" w:eastAsia="Arial" w:hAnsi="Arial"/>
        </w:rPr>
        <w:t xml:space="preserve">2. Where encryption is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Situation</w:t>
            </w:r>
          </w:p>
        </w:tc>
        <w:tc>
          <w:tcPr>
            <w:tcW w:type="dxa" w:w="52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r>
      <w:tr>
        <w:trPr>
          <w:tblHeader w:val="false"/>
        </w:trPr>
        <w:tc>
          <w:tcPr>
            <w:tcW w:type="dxa" w:w="38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Data in transit (internet, vendors, APIs, email with confidential data)</w:t>
            </w:r>
          </w:p>
        </w:tc>
        <w:tc>
          <w:tcPr>
            <w:tcW w:type="dxa" w:w="52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TLS 1.2 or higher (1.3 preferred); SFTP or HTTPS for file transfers; email TLS enforced with key partners</w:t>
            </w:r>
          </w:p>
        </w:tc>
      </w:tr>
      <w:tr>
        <w:trPr>
          <w:tblHeader w:val="false"/>
        </w:trPr>
        <w:tc>
          <w:tcPr>
            <w:tcW w:type="dxa" w:w="38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Data at rest — servers, databases, backups</w:t>
            </w:r>
          </w:p>
        </w:tc>
        <w:tc>
          <w:tcPr>
            <w:tcW w:type="dxa" w:w="52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AES-256 (disk / storage encryption, database TDE, encrypted backups)</w:t>
            </w:r>
          </w:p>
        </w:tc>
      </w:tr>
      <w:tr>
        <w:trPr>
          <w:tblHeader w:val="false"/>
        </w:trPr>
        <w:tc>
          <w:tcPr>
            <w:tcW w:type="dxa" w:w="38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Laptops and mobiles</w:t>
            </w:r>
          </w:p>
        </w:tc>
        <w:tc>
          <w:tcPr>
            <w:tcW w:type="dxa" w:w="52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Full-disk encryption</w:t>
            </w:r>
          </w:p>
        </w:tc>
      </w:tr>
      <w:tr>
        <w:trPr>
          <w:tblHeader w:val="false"/>
        </w:trPr>
        <w:tc>
          <w:tcPr>
            <w:tcW w:type="dxa" w:w="38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Confidential documents shared outside</w:t>
            </w:r>
          </w:p>
        </w:tc>
        <w:tc>
          <w:tcPr>
            <w:tcW w:type="dxa" w:w="52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Sensitivity labels with encryption, or password-protected files with the password sent separately</w:t>
            </w:r>
          </w:p>
        </w:tc>
      </w:tr>
      <w:tr>
        <w:trPr>
          <w:tblHeader w:val="false"/>
        </w:trPr>
        <w:tc>
          <w:tcPr>
            <w:tcW w:type="dxa" w:w="38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Passwords</w:t>
            </w:r>
          </w:p>
        </w:tc>
        <w:tc>
          <w:tcPr>
            <w:tcW w:type="dxa" w:w="52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Stored only as salted hashes with a modern algorithm (bcrypt / Argon2 / PBKDF2) — never in clear text</w:t>
            </w:r>
          </w:p>
        </w:tc>
      </w:tr>
    </w:tbl>
    <w:p>
      <w:pPr>
        <w:spacing w:after="120" w:line="276"/>
      </w:pPr>
    </w:p>
    <w:p>
      <w:pPr>
        <w:spacing w:after="120" w:line="276"/>
      </w:pPr>
      <w:r>
        <w:rPr>
          <w:rFonts w:ascii="Arial" w:cs="Arial" w:eastAsia="Arial" w:hAnsi="Arial"/>
        </w:rPr>
        <w:t xml:space="preserve">Weak algorithms are not allowed: DES/3DES, RC4, MD5, SHA-1 for signatures, SSL / TLS 1.0 / 1.1, RSA keys below 2048 bits.</w:t>
      </w:r>
    </w:p>
    <w:p>
      <w:pPr>
        <w:pStyle w:val="Heading1"/>
        <w:spacing w:after="120" w:before="280"/>
      </w:pPr>
      <w:r>
        <w:rPr>
          <w:rFonts w:ascii="Arial" w:cs="Arial" w:eastAsia="Arial" w:hAnsi="Arial"/>
        </w:rPr>
        <w:t xml:space="preserve">3. Key management</w:t>
      </w:r>
    </w:p>
    <w:p>
      <w:pPr>
        <w:pStyle w:val="ListParagraph"/>
        <w:numPr>
          <w:ilvl w:val="0"/>
          <w:numId w:val="2"/>
        </w:numPr>
        <w:spacing w:after="60" w:line="264"/>
      </w:pPr>
      <w:r>
        <w:rPr>
          <w:rFonts w:ascii="Arial" w:cs="Arial" w:eastAsia="Arial" w:hAnsi="Arial"/>
        </w:rPr>
        <w:t xml:space="preserve">Keys and secrets are stored in a managed key vault (or an HSM where required) — never in code, scripts or documents.</w:t>
      </w:r>
    </w:p>
    <w:p>
      <w:pPr>
        <w:pStyle w:val="ListParagraph"/>
        <w:numPr>
          <w:ilvl w:val="0"/>
          <w:numId w:val="2"/>
        </w:numPr>
        <w:spacing w:after="60" w:line="264"/>
      </w:pPr>
      <w:r>
        <w:rPr>
          <w:rFonts w:ascii="Arial" w:cs="Arial" w:eastAsia="Arial" w:hAnsi="Arial"/>
        </w:rPr>
        <w:t xml:space="preserve">Access to keys is limited to named administrators, approved by the CISO and logged.</w:t>
      </w:r>
    </w:p>
    <w:p>
      <w:pPr>
        <w:pStyle w:val="ListParagraph"/>
        <w:numPr>
          <w:ilvl w:val="0"/>
          <w:numId w:val="2"/>
        </w:numPr>
        <w:spacing w:after="60" w:line="264"/>
      </w:pPr>
      <w:r>
        <w:rPr>
          <w:rFonts w:ascii="Arial" w:cs="Arial" w:eastAsia="Arial" w:hAnsi="Arial"/>
        </w:rPr>
        <w:t xml:space="preserve">Keys are rotated at least every year, or immediately on suspected compromise or when a key holder leaves.</w:t>
      </w:r>
    </w:p>
    <w:p>
      <w:pPr>
        <w:pStyle w:val="ListParagraph"/>
        <w:numPr>
          <w:ilvl w:val="0"/>
          <w:numId w:val="2"/>
        </w:numPr>
        <w:spacing w:after="60" w:line="264"/>
      </w:pPr>
      <w:r>
        <w:rPr>
          <w:rFonts w:ascii="Arial" w:cs="Arial" w:eastAsia="Arial" w:hAnsi="Arial"/>
        </w:rPr>
        <w:t xml:space="preserve">Customer-managed keys are used for regulated data stores where the CSCRF category or risk assessment requires.</w:t>
      </w:r>
    </w:p>
    <w:p>
      <w:pPr>
        <w:pStyle w:val="ListParagraph"/>
        <w:numPr>
          <w:ilvl w:val="0"/>
          <w:numId w:val="2"/>
        </w:numPr>
        <w:spacing w:after="60" w:line="264"/>
      </w:pPr>
      <w:r>
        <w:rPr>
          <w:rFonts w:ascii="Arial" w:cs="Arial" w:eastAsia="Arial" w:hAnsi="Arial"/>
        </w:rPr>
        <w:t xml:space="preserve">Key backup and recovery are tested; destruction of keys is recorded.</w:t>
      </w:r>
    </w:p>
    <w:p>
      <w:pPr>
        <w:pStyle w:val="Heading1"/>
        <w:spacing w:after="120" w:before="280"/>
      </w:pPr>
      <w:r>
        <w:rPr>
          <w:rFonts w:ascii="Arial" w:cs="Arial" w:eastAsia="Arial" w:hAnsi="Arial"/>
        </w:rPr>
        <w:t xml:space="preserve">4. Certificates and digital signatures</w:t>
      </w:r>
    </w:p>
    <w:p>
      <w:pPr>
        <w:pStyle w:val="ListParagraph"/>
        <w:numPr>
          <w:ilvl w:val="0"/>
          <w:numId w:val="2"/>
        </w:numPr>
        <w:spacing w:after="60" w:line="264"/>
      </w:pPr>
      <w:r>
        <w:rPr>
          <w:rFonts w:ascii="Arial" w:cs="Arial" w:eastAsia="Arial" w:hAnsi="Arial"/>
        </w:rPr>
        <w:t xml:space="preserve">Certificates come from trusted certificate authorities; an inventory with expiry dates is maintained and monitored (alerts 30 days before expiry).</w:t>
      </w:r>
    </w:p>
    <w:p>
      <w:pPr>
        <w:pStyle w:val="ListParagraph"/>
        <w:numPr>
          <w:ilvl w:val="0"/>
          <w:numId w:val="2"/>
        </w:numPr>
        <w:spacing w:after="60" w:line="264"/>
      </w:pPr>
      <w:r>
        <w:rPr>
          <w:rFonts w:ascii="Arial" w:cs="Arial" w:eastAsia="Arial" w:hAnsi="Arial"/>
        </w:rPr>
        <w:t xml:space="preserve">Digital signature certificates (DSC) used for regulatory filings and banking are held by authorised signatories on tokens, never shared, and revoked on exit.</w:t>
      </w:r>
    </w:p>
    <w:p>
      <w:pPr>
        <w:pStyle w:val="Heading1"/>
        <w:spacing w:after="120" w:before="280"/>
      </w:pPr>
      <w:r>
        <w:rPr>
          <w:rFonts w:ascii="Arial" w:cs="Arial" w:eastAsia="Arial" w:hAnsi="Arial"/>
        </w:rPr>
        <w:t xml:space="preserve">Compliance, monitoring and exceptions</w:t>
      </w:r>
    </w:p>
    <w:p>
      <w:pPr>
        <w:pStyle w:val="ListParagraph"/>
        <w:numPr>
          <w:ilvl w:val="0"/>
          <w:numId w:val="2"/>
        </w:numPr>
        <w:spacing w:after="60" w:line="264"/>
      </w:pPr>
      <w:r>
        <w:rPr>
          <w:rFonts w:ascii="Arial" w:cs="Arial" w:eastAsia="Arial" w:hAnsi="Arial"/>
        </w:rPr>
        <w:t xml:space="preserve">Compliance with this document is monitored by the CISO and reviewed independently by Internal Audit and the annual SEBI system audit.</w:t>
      </w:r>
    </w:p>
    <w:p>
      <w:pPr>
        <w:pStyle w:val="ListParagraph"/>
        <w:numPr>
          <w:ilvl w:val="0"/>
          <w:numId w:val="2"/>
        </w:numPr>
        <w:spacing w:after="60" w:line="264"/>
      </w:pPr>
      <w:r>
        <w:rPr>
          <w:rFonts w:ascii="Arial" w:cs="Arial" w:eastAsia="Arial" w:hAnsi="Arial"/>
        </w:rPr>
        <w:t xml:space="preserve">Any exception must be requested in writing with the business reason, the risk, compensating controls and an end date. Exceptions are approved by the CISO (security) or the Head of IT (operations), recorded in the exception register and reported to the IT Strategy Committee every quarter. No exception may run beyond 12 months without re-approval.</w:t>
      </w:r>
    </w:p>
    <w:p>
      <w:pPr>
        <w:pStyle w:val="ListParagraph"/>
        <w:numPr>
          <w:ilvl w:val="0"/>
          <w:numId w:val="2"/>
        </w:numPr>
        <w:spacing w:after="60" w:line="264"/>
      </w:pPr>
      <w:r>
        <w:rPr>
          <w:rFonts w:ascii="Arial" w:cs="Arial" w:eastAsia="Arial" w:hAnsi="Arial"/>
        </w:rPr>
        <w:t xml:space="preserve">Breach of this document by an employee may lead to disciplinary action under the Company's HR policies; breach by a service provider is handled under the contract.</w:t>
      </w:r>
    </w:p>
    <w:p>
      <w:pPr>
        <w:pStyle w:val="Heading1"/>
        <w:spacing w:after="120" w:before="280"/>
      </w:pPr>
      <w:r>
        <w:rPr>
          <w:rFonts w:ascii="Arial" w:cs="Arial" w:eastAsia="Arial" w:hAnsi="Arial"/>
        </w:rPr>
        <w:t xml:space="preserve">Review</w:t>
      </w:r>
    </w:p>
    <w:p>
      <w:pPr>
        <w:spacing w:after="120" w:line="276"/>
      </w:pPr>
      <w:r>
        <w:rPr>
          <w:rFonts w:ascii="Arial" w:cs="Arial" w:eastAsia="Arial" w:hAnsi="Arial"/>
        </w:rPr>
        <w:t xml:space="preserve">This document is reviewed at least once a year, and earlier when there is a significant change in SEBI or other regulation, in the Company's technology, service providers or business, or after a significant incident. Changes are recommended by the IT Strategy Committee and approved by the Board.</w:t>
      </w:r>
    </w:p>
    <w:p>
      <w:pPr>
        <w:pStyle w:val="Heading1"/>
        <w:spacing w:after="120" w:before="280"/>
      </w:pPr>
      <w:r>
        <w:rPr>
          <w:rFonts w:ascii="Arial" w:cs="Arial" w:eastAsia="Arial" w:hAnsi="Arial"/>
        </w:rPr>
        <w:t xml:space="preserve">Annexure — Mapping to the SEBI system audit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Checklist point</w:t>
            </w:r>
          </w:p>
        </w:tc>
        <w:tc>
          <w:tcPr>
            <w:tcW w:type="dxa" w:w="45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30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Section of this document</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2b (procedure b)</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Use of cryptography</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Whole document</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3A3"/>
        <w:sz w:val="16"/>
        <w:szCs w:val="16"/>
      </w:rPr>
      <w:t xml:space="preserve">Internal · </w:t>
    </w:r>
    <w:r>
      <w:rPr>
        <w:rFonts w:ascii="Arial" w:cs="Arial" w:eastAsia="Arial" w:hAnsi="Arial"/>
        <w:color w:val="8A93A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3A3"/>
        <w:sz w:val="16"/>
        <w:szCs w:val="16"/>
      </w:rPr>
      <w:t xml:space="preserve">Ashika Asset Management Limited · Cryptography and Key Management Procedure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A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Cryptography and Key Management Procedure</dc:title>
  <dc:creator>Ashika Asset Management Limited</dc:creator>
  <dc:description>Draft policy</dc:description>
  <cp:lastModifiedBy>Un-named</cp:lastModifiedBy>
  <cp:revision>1</cp:revision>
  <dcterms:created xsi:type="dcterms:W3CDTF">2026-10-29T16:44:47.370Z</dcterms:created>
  <dcterms:modified xsi:type="dcterms:W3CDTF">2026-10-29T16:44:47.370Z</dcterms:modified>
</cp:coreProperties>
</file>

<file path=docProps/custom.xml><?xml version="1.0" encoding="utf-8"?>
<Properties xmlns="http://schemas.openxmlformats.org/officeDocument/2006/custom-properties" xmlns:vt="http://schemas.openxmlformats.org/officeDocument/2006/docPropsVTypes"/>
</file>