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Third-Party Security Procedure</w:t>
      </w:r>
    </w:p>
    <w:p>
      <w:pPr>
        <w:spacing w:after="600"/>
      </w:pPr>
      <w:r>
        <w:rPr>
          <w:rFonts w:ascii="Arial" w:cs="Arial" w:eastAsia="Arial" w:hAnsi="Arial"/>
          <w:color w:val="475467"/>
          <w:sz w:val="24"/>
          <w:szCs w:val="24"/>
        </w:rPr>
        <w:t xml:space="preserve">Security requirements for service providers, vendors and their staff</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Third-Party Security Procedure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AAML-IS-PRC-04</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CISO</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Steering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 and scope</w:t>
      </w:r>
    </w:p>
    <w:p>
      <w:pPr>
        <w:spacing w:after="80"/>
      </w:pPr>
      <w:r>
        <w:rPr>
          <w:rFonts w:ascii="Arial" w:cs="Arial" w:eastAsia="Arial" w:hAnsi="Arial"/>
          <w:sz w:val="21"/>
          <w:szCs w:val="21"/>
        </w:rPr>
        <w:t xml:space="preserve">2. Before engagement</w:t>
      </w:r>
    </w:p>
    <w:p>
      <w:pPr>
        <w:spacing w:after="80"/>
      </w:pPr>
      <w:r>
        <w:rPr>
          <w:rFonts w:ascii="Arial" w:cs="Arial" w:eastAsia="Arial" w:hAnsi="Arial"/>
          <w:sz w:val="21"/>
          <w:szCs w:val="21"/>
        </w:rPr>
        <w:t xml:space="preserve">3. Contract clauses (minimum)</w:t>
      </w:r>
    </w:p>
    <w:p>
      <w:pPr>
        <w:spacing w:after="80"/>
      </w:pPr>
      <w:r>
        <w:rPr>
          <w:rFonts w:ascii="Arial" w:cs="Arial" w:eastAsia="Arial" w:hAnsi="Arial"/>
          <w:sz w:val="21"/>
          <w:szCs w:val="21"/>
        </w:rPr>
        <w:t xml:space="preserve">4. Access by third parties</w:t>
      </w:r>
    </w:p>
    <w:p>
      <w:pPr>
        <w:spacing w:after="80"/>
      </w:pPr>
      <w:r>
        <w:rPr>
          <w:rFonts w:ascii="Arial" w:cs="Arial" w:eastAsia="Arial" w:hAnsi="Arial"/>
          <w:sz w:val="21"/>
          <w:szCs w:val="21"/>
        </w:rPr>
        <w:t xml:space="preserve">5. Ongoing monitoring</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 and scope</w:t>
      </w:r>
    </w:p>
    <w:p>
      <w:pPr>
        <w:spacing w:after="120" w:line="276"/>
      </w:pPr>
      <w:r>
        <w:rPr>
          <w:rFonts w:ascii="Arial" w:cs="Arial" w:eastAsia="Arial" w:hAnsi="Arial"/>
        </w:rPr>
        <w:t xml:space="preserve">Defines the security checks and controls for any third party that accesses Company systems or data or provides IT / cloud services. It applies together with the Vendor Management Framework (AAML-IS-POL-09). Critical third parties are those identified as critical in the vendor register.</w:t>
      </w:r>
    </w:p>
    <w:p>
      <w:pPr>
        <w:pStyle w:val="Heading1"/>
        <w:spacing w:after="120" w:before="280"/>
      </w:pPr>
      <w:r>
        <w:rPr>
          <w:rFonts w:ascii="Arial" w:cs="Arial" w:eastAsia="Arial" w:hAnsi="Arial"/>
        </w:rPr>
        <w:t xml:space="preserve">2. Before engagement</w:t>
      </w:r>
    </w:p>
    <w:p>
      <w:pPr>
        <w:pStyle w:val="ListParagraph"/>
        <w:numPr>
          <w:ilvl w:val="0"/>
          <w:numId w:val="2"/>
        </w:numPr>
        <w:spacing w:after="60" w:line="264"/>
      </w:pPr>
      <w:r>
        <w:rPr>
          <w:rFonts w:ascii="Arial" w:cs="Arial" w:eastAsia="Arial" w:hAnsi="Arial"/>
        </w:rPr>
        <w:t xml:space="preserve">Security questionnaire and evidence: ISO 27001 certificate and scope, SOC 2 Type II or equivalent report, latest VAPT / system audit summary, BCP/DR, data location, sub-contractors, incident history.</w:t>
      </w:r>
    </w:p>
    <w:p>
      <w:pPr>
        <w:pStyle w:val="ListParagraph"/>
        <w:numPr>
          <w:ilvl w:val="0"/>
          <w:numId w:val="2"/>
        </w:numPr>
        <w:spacing w:after="60" w:line="264"/>
      </w:pPr>
      <w:r>
        <w:rPr>
          <w:rFonts w:ascii="Arial" w:cs="Arial" w:eastAsia="Arial" w:hAnsi="Arial"/>
        </w:rPr>
        <w:t xml:space="preserve">For providers regulated by SEBI or another regulator, their own SEBI system audit / CSCRF compliance status is obtained.</w:t>
      </w:r>
    </w:p>
    <w:p>
      <w:pPr>
        <w:pStyle w:val="ListParagraph"/>
        <w:numPr>
          <w:ilvl w:val="0"/>
          <w:numId w:val="2"/>
        </w:numPr>
        <w:spacing w:after="60" w:line="264"/>
      </w:pPr>
      <w:r>
        <w:rPr>
          <w:rFonts w:ascii="Arial" w:cs="Arial" w:eastAsia="Arial" w:hAnsi="Arial"/>
        </w:rPr>
        <w:t xml:space="preserve">The CISO rates the security risk (high / medium / low) and approves, with conditions if needed.</w:t>
      </w:r>
    </w:p>
    <w:p>
      <w:pPr>
        <w:pStyle w:val="Heading1"/>
        <w:spacing w:after="120" w:before="280"/>
      </w:pPr>
      <w:r>
        <w:rPr>
          <w:rFonts w:ascii="Arial" w:cs="Arial" w:eastAsia="Arial" w:hAnsi="Arial"/>
        </w:rPr>
        <w:t xml:space="preserve">3. Contract clauses (minimum)</w:t>
      </w:r>
    </w:p>
    <w:p>
      <w:pPr>
        <w:pStyle w:val="ListParagraph"/>
        <w:numPr>
          <w:ilvl w:val="0"/>
          <w:numId w:val="2"/>
        </w:numPr>
        <w:spacing w:after="60" w:line="264"/>
      </w:pPr>
      <w:r>
        <w:rPr>
          <w:rFonts w:ascii="Arial" w:cs="Arial" w:eastAsia="Arial" w:hAnsi="Arial"/>
        </w:rPr>
        <w:t xml:space="preserve">Confidentiality and non-disclosure, including for their staff and sub-contractors.</w:t>
      </w:r>
    </w:p>
    <w:p>
      <w:pPr>
        <w:pStyle w:val="ListParagraph"/>
        <w:numPr>
          <w:ilvl w:val="0"/>
          <w:numId w:val="2"/>
        </w:numPr>
        <w:spacing w:after="60" w:line="264"/>
      </w:pPr>
      <w:r>
        <w:rPr>
          <w:rFonts w:ascii="Arial" w:cs="Arial" w:eastAsia="Arial" w:hAnsi="Arial"/>
        </w:rPr>
        <w:t xml:space="preserve">Compliance with SEBI CSCRF and applicable law; data stored and processed in India unless permitted; data protection obligations under the DPDP Act as a data processor.</w:t>
      </w:r>
    </w:p>
    <w:p>
      <w:pPr>
        <w:pStyle w:val="ListParagraph"/>
        <w:numPr>
          <w:ilvl w:val="0"/>
          <w:numId w:val="2"/>
        </w:numPr>
        <w:spacing w:after="60" w:line="264"/>
      </w:pPr>
      <w:r>
        <w:rPr>
          <w:rFonts w:ascii="Arial" w:cs="Arial" w:eastAsia="Arial" w:hAnsi="Arial"/>
        </w:rPr>
        <w:t xml:space="preserve">Incident notification to the Company without delay (target within 2 hours of detection for incidents affecting Company data) and cooperation in investigation.</w:t>
      </w:r>
    </w:p>
    <w:p>
      <w:pPr>
        <w:pStyle w:val="ListParagraph"/>
        <w:numPr>
          <w:ilvl w:val="0"/>
          <w:numId w:val="2"/>
        </w:numPr>
        <w:spacing w:after="60" w:line="264"/>
      </w:pPr>
      <w:r>
        <w:rPr>
          <w:rFonts w:ascii="Arial" w:cs="Arial" w:eastAsia="Arial" w:hAnsi="Arial"/>
        </w:rPr>
        <w:t xml:space="preserve">Right to audit and inspect by the Company, its auditors and SEBI; provision of assurance reports every year.</w:t>
      </w:r>
    </w:p>
    <w:p>
      <w:pPr>
        <w:pStyle w:val="ListParagraph"/>
        <w:numPr>
          <w:ilvl w:val="0"/>
          <w:numId w:val="2"/>
        </w:numPr>
        <w:spacing w:after="60" w:line="264"/>
      </w:pPr>
      <w:r>
        <w:rPr>
          <w:rFonts w:ascii="Arial" w:cs="Arial" w:eastAsia="Arial" w:hAnsi="Arial"/>
        </w:rPr>
        <w:t xml:space="preserve">Security controls: access control, encryption, logging, vulnerability management, background checks of staff.</w:t>
      </w:r>
    </w:p>
    <w:p>
      <w:pPr>
        <w:pStyle w:val="ListParagraph"/>
        <w:numPr>
          <w:ilvl w:val="0"/>
          <w:numId w:val="2"/>
        </w:numPr>
        <w:spacing w:after="60" w:line="264"/>
      </w:pPr>
      <w:r>
        <w:rPr>
          <w:rFonts w:ascii="Arial" w:cs="Arial" w:eastAsia="Arial" w:hAnsi="Arial"/>
        </w:rPr>
        <w:t xml:space="preserve">Business continuity obligations, RTO / RPO, participation in drills.</w:t>
      </w:r>
    </w:p>
    <w:p>
      <w:pPr>
        <w:pStyle w:val="ListParagraph"/>
        <w:numPr>
          <w:ilvl w:val="0"/>
          <w:numId w:val="2"/>
        </w:numPr>
        <w:spacing w:after="60" w:line="264"/>
      </w:pPr>
      <w:r>
        <w:rPr>
          <w:rFonts w:ascii="Arial" w:cs="Arial" w:eastAsia="Arial" w:hAnsi="Arial"/>
        </w:rPr>
        <w:t xml:space="preserve">Return and secure destruction of data at exit, with certificate; exit / transition assistance.</w:t>
      </w:r>
    </w:p>
    <w:p>
      <w:pPr>
        <w:pStyle w:val="Heading1"/>
        <w:spacing w:after="120" w:before="280"/>
      </w:pPr>
      <w:r>
        <w:rPr>
          <w:rFonts w:ascii="Arial" w:cs="Arial" w:eastAsia="Arial" w:hAnsi="Arial"/>
        </w:rPr>
        <w:t xml:space="preserve">4. Access by third parties</w:t>
      </w:r>
    </w:p>
    <w:p>
      <w:pPr>
        <w:pStyle w:val="ListParagraph"/>
        <w:numPr>
          <w:ilvl w:val="0"/>
          <w:numId w:val="2"/>
        </w:numPr>
        <w:spacing w:after="60" w:line="264"/>
      </w:pPr>
      <w:r>
        <w:rPr>
          <w:rFonts w:ascii="Arial" w:cs="Arial" w:eastAsia="Arial" w:hAnsi="Arial"/>
        </w:rPr>
        <w:t xml:space="preserve">Named accounts only, with MFA, least privilege and an end date; vendor remote access through the approved gateway, enabled only for the approved window and logged.</w:t>
      </w:r>
    </w:p>
    <w:p>
      <w:pPr>
        <w:pStyle w:val="ListParagraph"/>
        <w:numPr>
          <w:ilvl w:val="0"/>
          <w:numId w:val="2"/>
        </w:numPr>
        <w:spacing w:after="60" w:line="264"/>
      </w:pPr>
      <w:r>
        <w:rPr>
          <w:rFonts w:ascii="Arial" w:cs="Arial" w:eastAsia="Arial" w:hAnsi="Arial"/>
        </w:rPr>
        <w:t xml:space="preserve">Vendor accounts are reviewed every quarter and removed when no longer needed.</w:t>
      </w:r>
    </w:p>
    <w:p>
      <w:pPr>
        <w:pStyle w:val="Heading1"/>
        <w:spacing w:after="120" w:before="280"/>
      </w:pPr>
      <w:r>
        <w:rPr>
          <w:rFonts w:ascii="Arial" w:cs="Arial" w:eastAsia="Arial" w:hAnsi="Arial"/>
        </w:rPr>
        <w:t xml:space="preserve">5. Ongoing monitoring</w:t>
      </w:r>
    </w:p>
    <w:p>
      <w:pPr>
        <w:pStyle w:val="ListParagraph"/>
        <w:numPr>
          <w:ilvl w:val="0"/>
          <w:numId w:val="2"/>
        </w:numPr>
        <w:spacing w:after="60" w:line="264"/>
      </w:pPr>
      <w:r>
        <w:rPr>
          <w:rFonts w:ascii="Arial" w:cs="Arial" w:eastAsia="Arial" w:hAnsi="Arial"/>
        </w:rPr>
        <w:t xml:space="preserve">High-risk vendors reviewed every year (assurance reports, SLA, incidents, open findings); medium every two years.</w:t>
      </w:r>
    </w:p>
    <w:p>
      <w:pPr>
        <w:pStyle w:val="ListParagraph"/>
        <w:numPr>
          <w:ilvl w:val="0"/>
          <w:numId w:val="2"/>
        </w:numPr>
        <w:spacing w:after="60" w:line="264"/>
      </w:pPr>
      <w:r>
        <w:rPr>
          <w:rFonts w:ascii="Arial" w:cs="Arial" w:eastAsia="Arial" w:hAnsi="Arial"/>
        </w:rPr>
        <w:t xml:space="preserve">Concentration risk (one provider delivering several critical services) is assessed and covered in the BCP.</w:t>
      </w:r>
    </w:p>
    <w:p>
      <w:pPr>
        <w:pStyle w:val="ListParagraph"/>
        <w:numPr>
          <w:ilvl w:val="0"/>
          <w:numId w:val="2"/>
        </w:numPr>
        <w:spacing w:after="60" w:line="264"/>
      </w:pPr>
      <w:r>
        <w:rPr>
          <w:rFonts w:ascii="Arial" w:cs="Arial" w:eastAsia="Arial" w:hAnsi="Arial"/>
        </w:rPr>
        <w:t xml:space="preserve">Findings are tracked to closure in the vendor register.</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CISO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(procedure c)</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Third party security</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2i</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Vendor security (with the Vendor Management Framework)</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Sections 2–5</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Third-Party Security Procedure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Third-Party Security Procedure</dc:title>
  <dc:creator>Ashika Asset Management Limited</dc:creator>
  <dc:description>Draft policy</dc:description>
  <cp:lastModifiedBy>Un-named</cp:lastModifiedBy>
  <cp:revision>1</cp:revision>
  <dcterms:created xsi:type="dcterms:W3CDTF">2026-10-29T16:44:47.406Z</dcterms:created>
  <dcterms:modified xsi:type="dcterms:W3CDTF">2026-10-29T16:44:47.406Z</dcterms:modified>
</cp:coreProperties>
</file>

<file path=docProps/custom.xml><?xml version="1.0" encoding="utf-8"?>
<Properties xmlns="http://schemas.openxmlformats.org/officeDocument/2006/custom-properties" xmlns:vt="http://schemas.openxmlformats.org/officeDocument/2006/docPropsVTypes"/>
</file>