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475467"/>
          <w:sz w:val="26"/>
          <w:szCs w:val="26"/>
        </w:rPr>
        <w:t xml:space="preserve">Ashika Asset Management Limited</w:t>
      </w:r>
    </w:p>
    <w:p>
      <w:pPr>
        <w:spacing w:after="160"/>
      </w:pPr>
      <w:r>
        <w:rPr>
          <w:rFonts w:ascii="Arial" w:cs="Arial" w:eastAsia="Arial" w:hAnsi="Arial"/>
          <w:b/>
          <w:bCs/>
          <w:color w:val="1F3864"/>
          <w:sz w:val="44"/>
          <w:szCs w:val="44"/>
        </w:rPr>
        <w:t xml:space="preserve">Human Resource Security Procedure</w:t>
      </w:r>
    </w:p>
    <w:p>
      <w:pPr>
        <w:spacing w:after="600"/>
      </w:pPr>
      <w:r>
        <w:rPr>
          <w:rFonts w:ascii="Arial" w:cs="Arial" w:eastAsia="Arial" w:hAnsi="Arial"/>
          <w:color w:val="475467"/>
          <w:sz w:val="24"/>
          <w:szCs w:val="24"/>
        </w:rPr>
        <w:t xml:space="preserve">Security controls before, during and after employment</w:t>
      </w:r>
    </w:p>
    <w:p>
      <w:pPr>
        <w:spacing w:after="200"/>
      </w:pPr>
      <w:r>
        <w:rPr>
          <w:rFonts w:ascii="Arial" w:cs="Arial" w:eastAsia="Arial" w:hAnsi="Arial"/>
          <w:i/>
          <w:iCs/>
          <w:color w:val="B54708"/>
          <w:sz w:val="20"/>
          <w:szCs w:val="20"/>
        </w:rPr>
        <w:t xml:space="preserve">DRAFT — for review by the IT Strategy Committee and approval by the Board. Text in [●] is to be completed.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Item</w:t>
            </w:r>
          </w:p>
        </w:tc>
        <w:tc>
          <w:tcPr>
            <w:tcW w:type="dxa" w:w="64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Details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Document</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Human Resource Security Procedure</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Document ID</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AAML-IS-PRC-05</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Version</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0.1 — DRAFT for review</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Classification</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Internal</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Owner</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Head of HR with the CISO</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Reviewed by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Chief Information Security Officer (CISO); Compliance Officer</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 by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Information Security Steering Committee</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Effective date</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 (date of Board approval)</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Review frequency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At least once a year, and on any significant change in regulation, technology or business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Applies to</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Ashika Asset Management Limited (the "Company" / "AMC") and, where stated, its service providers</w:t>
            </w:r>
          </w:p>
        </w:tc>
      </w:tr>
    </w:tbl>
    <w:p>
      <w:pPr>
        <w:spacing w:after="120" w:line="276"/>
      </w:pPr>
    </w:p>
    <w:p>
      <w:pPr>
        <w:pStyle w:val="Heading2"/>
        <w:spacing w:after="100" w:before="200"/>
      </w:pPr>
      <w:r>
        <w:rPr>
          <w:rFonts w:ascii="Arial" w:cs="Arial" w:eastAsia="Arial" w:hAnsi="Arial"/>
        </w:rP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3826"/>
        <w:gridCol w:w="2500"/>
      </w:tblGrid>
      <w:tr>
        <w:trPr>
          <w:tblHeader/>
        </w:trPr>
        <w:tc>
          <w:tcPr>
            <w:tcW w:type="dxa" w:w="11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Version</w:t>
            </w:r>
          </w:p>
        </w:tc>
        <w:tc>
          <w:tcPr>
            <w:tcW w:type="dxa" w:w="1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Date</w:t>
            </w:r>
          </w:p>
        </w:tc>
        <w:tc>
          <w:tcPr>
            <w:tcW w:type="dxa" w:w="38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Change</w:t>
            </w:r>
          </w:p>
        </w:tc>
        <w:tc>
          <w:tcPr>
            <w:tcW w:type="dxa" w:w="25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Author / Approver</w:t>
            </w:r>
          </w:p>
        </w:tc>
      </w:tr>
      <w:tr>
        <w:trPr>
          <w:tblHeader w:val="false"/>
        </w:trPr>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0.1</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3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First draft for review</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r>
        <w:trPr>
          <w:tblHeader w:val="false"/>
        </w:trPr>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1.0</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3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bl>
    <w:p>
      <w:r>
        <w:br w:type="page"/>
      </w:r>
    </w:p>
    <w:p>
      <w:pPr>
        <w:spacing w:after="120"/>
      </w:pPr>
      <w:r>
        <w:rPr>
          <w:rFonts w:ascii="Arial" w:cs="Arial" w:eastAsia="Arial" w:hAnsi="Arial"/>
          <w:b/>
          <w:bCs/>
          <w:color w:val="1F3864"/>
          <w:sz w:val="28"/>
          <w:szCs w:val="28"/>
        </w:rPr>
        <w:t xml:space="preserve">Contents</w:t>
      </w:r>
    </w:p>
    <w:p>
      <w:pPr>
        <w:spacing w:after="80"/>
      </w:pPr>
      <w:r>
        <w:rPr>
          <w:rFonts w:ascii="Arial" w:cs="Arial" w:eastAsia="Arial" w:hAnsi="Arial"/>
          <w:sz w:val="21"/>
          <w:szCs w:val="21"/>
        </w:rPr>
        <w:t xml:space="preserve">1. Purpose and scope</w:t>
      </w:r>
    </w:p>
    <w:p>
      <w:pPr>
        <w:spacing w:after="80"/>
      </w:pPr>
      <w:r>
        <w:rPr>
          <w:rFonts w:ascii="Arial" w:cs="Arial" w:eastAsia="Arial" w:hAnsi="Arial"/>
          <w:sz w:val="21"/>
          <w:szCs w:val="21"/>
        </w:rPr>
        <w:t xml:space="preserve">2. Before employment</w:t>
      </w:r>
    </w:p>
    <w:p>
      <w:pPr>
        <w:spacing w:after="80"/>
      </w:pPr>
      <w:r>
        <w:rPr>
          <w:rFonts w:ascii="Arial" w:cs="Arial" w:eastAsia="Arial" w:hAnsi="Arial"/>
          <w:sz w:val="21"/>
          <w:szCs w:val="21"/>
        </w:rPr>
        <w:t xml:space="preserve">3. During employment</w:t>
      </w:r>
    </w:p>
    <w:p>
      <w:pPr>
        <w:spacing w:after="80"/>
      </w:pPr>
      <w:r>
        <w:rPr>
          <w:rFonts w:ascii="Arial" w:cs="Arial" w:eastAsia="Arial" w:hAnsi="Arial"/>
          <w:sz w:val="21"/>
          <w:szCs w:val="21"/>
        </w:rPr>
        <w:t xml:space="preserve">4. Termination and change of role</w:t>
      </w:r>
    </w:p>
    <w:p>
      <w:pPr>
        <w:spacing w:after="80"/>
      </w:pPr>
      <w:r>
        <w:rPr>
          <w:rFonts w:ascii="Arial" w:cs="Arial" w:eastAsia="Arial" w:hAnsi="Arial"/>
          <w:sz w:val="21"/>
          <w:szCs w:val="21"/>
        </w:rPr>
        <w:t xml:space="preserve">Compliance, monitoring and exceptions</w:t>
      </w:r>
    </w:p>
    <w:p>
      <w:pPr>
        <w:spacing w:after="80"/>
      </w:pPr>
      <w:r>
        <w:rPr>
          <w:rFonts w:ascii="Arial" w:cs="Arial" w:eastAsia="Arial" w:hAnsi="Arial"/>
          <w:sz w:val="21"/>
          <w:szCs w:val="21"/>
        </w:rPr>
        <w:t xml:space="preserve">Review</w:t>
      </w:r>
    </w:p>
    <w:p>
      <w:pPr>
        <w:spacing w:after="80"/>
      </w:pPr>
      <w:r>
        <w:rPr>
          <w:rFonts w:ascii="Arial" w:cs="Arial" w:eastAsia="Arial" w:hAnsi="Arial"/>
          <w:sz w:val="21"/>
          <w:szCs w:val="21"/>
        </w:rPr>
        <w:t xml:space="preserve">Annexure — Mapping to the SEBI system audit checklist</w:t>
      </w:r>
    </w:p>
    <w:p>
      <w:r>
        <w:br w:type="page"/>
      </w:r>
    </w:p>
    <w:p>
      <w:pPr>
        <w:pStyle w:val="Heading1"/>
        <w:spacing w:after="120" w:before="280"/>
      </w:pPr>
      <w:r>
        <w:rPr>
          <w:rFonts w:ascii="Arial" w:cs="Arial" w:eastAsia="Arial" w:hAnsi="Arial"/>
        </w:rPr>
        <w:t xml:space="preserve">1. Purpose and scope</w:t>
      </w:r>
    </w:p>
    <w:p>
      <w:pPr>
        <w:spacing w:after="120" w:line="276"/>
      </w:pPr>
      <w:r>
        <w:rPr>
          <w:rFonts w:ascii="Arial" w:cs="Arial" w:eastAsia="Arial" w:hAnsi="Arial"/>
        </w:rPr>
        <w:t xml:space="preserve">Makes sure employees, contractors and interns are suitable, aware of their security duties and lose access promptly when they leave. Applies to all staff and to contractors with access to Company systems.</w:t>
      </w:r>
    </w:p>
    <w:p>
      <w:pPr>
        <w:pStyle w:val="Heading1"/>
        <w:spacing w:after="120" w:before="280"/>
      </w:pPr>
      <w:r>
        <w:rPr>
          <w:rFonts w:ascii="Arial" w:cs="Arial" w:eastAsia="Arial" w:hAnsi="Arial"/>
        </w:rPr>
        <w:t xml:space="preserve">2. Before employment</w:t>
      </w:r>
    </w:p>
    <w:p>
      <w:pPr>
        <w:pStyle w:val="ListParagraph"/>
        <w:numPr>
          <w:ilvl w:val="0"/>
          <w:numId w:val="2"/>
        </w:numPr>
        <w:spacing w:after="60" w:line="264"/>
      </w:pPr>
      <w:r>
        <w:rPr>
          <w:rFonts w:ascii="Arial" w:cs="Arial" w:eastAsia="Arial" w:hAnsi="Arial"/>
        </w:rPr>
        <w:t xml:space="preserve">Background verification before joining: identity, address, education, previous employment, criminal record check (where lawful), and credit check for roles handling funds — completed before access to confidential data.</w:t>
      </w:r>
    </w:p>
    <w:p>
      <w:pPr>
        <w:pStyle w:val="ListParagraph"/>
        <w:numPr>
          <w:ilvl w:val="0"/>
          <w:numId w:val="2"/>
        </w:numPr>
        <w:spacing w:after="60" w:line="264"/>
      </w:pPr>
      <w:r>
        <w:rPr>
          <w:rFonts w:ascii="Arial" w:cs="Arial" w:eastAsia="Arial" w:hAnsi="Arial"/>
        </w:rPr>
        <w:t xml:space="preserve">Offer letters / contracts include confidentiality, acceptable use, intellectual property and code of conduct clauses.</w:t>
      </w:r>
    </w:p>
    <w:p>
      <w:pPr>
        <w:pStyle w:val="ListParagraph"/>
        <w:numPr>
          <w:ilvl w:val="0"/>
          <w:numId w:val="2"/>
        </w:numPr>
        <w:spacing w:after="60" w:line="264"/>
      </w:pPr>
      <w:r>
        <w:rPr>
          <w:rFonts w:ascii="Arial" w:cs="Arial" w:eastAsia="Arial" w:hAnsi="Arial"/>
        </w:rPr>
        <w:t xml:space="preserve">Contractor firms must confirm equivalent checks on their staff.</w:t>
      </w:r>
    </w:p>
    <w:p>
      <w:pPr>
        <w:pStyle w:val="Heading1"/>
        <w:spacing w:after="120" w:before="280"/>
      </w:pPr>
      <w:r>
        <w:rPr>
          <w:rFonts w:ascii="Arial" w:cs="Arial" w:eastAsia="Arial" w:hAnsi="Arial"/>
        </w:rPr>
        <w:t xml:space="preserve">3. During employment</w:t>
      </w:r>
    </w:p>
    <w:p>
      <w:pPr>
        <w:pStyle w:val="ListParagraph"/>
        <w:numPr>
          <w:ilvl w:val="0"/>
          <w:numId w:val="2"/>
        </w:numPr>
        <w:spacing w:after="60" w:line="264"/>
      </w:pPr>
      <w:r>
        <w:rPr>
          <w:rFonts w:ascii="Arial" w:cs="Arial" w:eastAsia="Arial" w:hAnsi="Arial"/>
        </w:rPr>
        <w:t xml:space="preserve">Induction within the first week covers information security, privacy, acceptable use and BCP; the employee signs acceptance of the IT and IS policies.</w:t>
      </w:r>
    </w:p>
    <w:p>
      <w:pPr>
        <w:pStyle w:val="ListParagraph"/>
        <w:numPr>
          <w:ilvl w:val="0"/>
          <w:numId w:val="2"/>
        </w:numPr>
        <w:spacing w:after="60" w:line="264"/>
      </w:pPr>
      <w:r>
        <w:rPr>
          <w:rFonts w:ascii="Arial" w:cs="Arial" w:eastAsia="Arial" w:hAnsi="Arial"/>
        </w:rPr>
        <w:t xml:space="preserve">Annual security awareness and policy re-acknowledgement; role-based training for privileged users.</w:t>
      </w:r>
    </w:p>
    <w:p>
      <w:pPr>
        <w:pStyle w:val="ListParagraph"/>
        <w:numPr>
          <w:ilvl w:val="0"/>
          <w:numId w:val="2"/>
        </w:numPr>
        <w:spacing w:after="60" w:line="264"/>
      </w:pPr>
      <w:r>
        <w:rPr>
          <w:rFonts w:ascii="Arial" w:cs="Arial" w:eastAsia="Arial" w:hAnsi="Arial"/>
        </w:rPr>
        <w:t xml:space="preserve">Access is changed through HR-triggered requests on role change; managers confirm access in periodic reviews.</w:t>
      </w:r>
    </w:p>
    <w:p>
      <w:pPr>
        <w:pStyle w:val="ListParagraph"/>
        <w:numPr>
          <w:ilvl w:val="0"/>
          <w:numId w:val="2"/>
        </w:numPr>
        <w:spacing w:after="60" w:line="264"/>
      </w:pPr>
      <w:r>
        <w:rPr>
          <w:rFonts w:ascii="Arial" w:cs="Arial" w:eastAsia="Arial" w:hAnsi="Arial"/>
        </w:rPr>
        <w:t xml:space="preserve">Disciplinary process for security breaches is defined in HR policies.</w:t>
      </w:r>
    </w:p>
    <w:p>
      <w:pPr>
        <w:pStyle w:val="ListParagraph"/>
        <w:numPr>
          <w:ilvl w:val="0"/>
          <w:numId w:val="2"/>
        </w:numPr>
        <w:spacing w:after="60" w:line="264"/>
      </w:pPr>
      <w:r>
        <w:rPr>
          <w:rFonts w:ascii="Arial" w:cs="Arial" w:eastAsia="Arial" w:hAnsi="Arial"/>
        </w:rPr>
        <w:t xml:space="preserve">Staff in sensitive roles (fund management, dealing, IT admin) take mandatory leave of at least [●] consecutive days a year where feasible, as a fraud control.</w:t>
      </w:r>
    </w:p>
    <w:p>
      <w:pPr>
        <w:pStyle w:val="Heading1"/>
        <w:spacing w:after="120" w:before="280"/>
      </w:pPr>
      <w:r>
        <w:rPr>
          <w:rFonts w:ascii="Arial" w:cs="Arial" w:eastAsia="Arial" w:hAnsi="Arial"/>
        </w:rPr>
        <w:t xml:space="preserve">4. Termination and change of role</w:t>
      </w:r>
    </w:p>
    <w:p>
      <w:pPr>
        <w:pStyle w:val="ListParagraph"/>
        <w:numPr>
          <w:ilvl w:val="0"/>
          <w:numId w:val="2"/>
        </w:numPr>
        <w:spacing w:after="60" w:line="264"/>
      </w:pPr>
      <w:r>
        <w:rPr>
          <w:rFonts w:ascii="Arial" w:cs="Arial" w:eastAsia="Arial" w:hAnsi="Arial"/>
        </w:rPr>
        <w:t xml:space="preserve">HR informs IT of exits at least 3 working days in advance (immediately for terminations); access is removed on the last working day — the same hour for terminations.</w:t>
      </w:r>
    </w:p>
    <w:p>
      <w:pPr>
        <w:pStyle w:val="ListParagraph"/>
        <w:numPr>
          <w:ilvl w:val="0"/>
          <w:numId w:val="2"/>
        </w:numPr>
        <w:spacing w:after="60" w:line="264"/>
      </w:pPr>
      <w:r>
        <w:rPr>
          <w:rFonts w:ascii="Arial" w:cs="Arial" w:eastAsia="Arial" w:hAnsi="Arial"/>
        </w:rPr>
        <w:t xml:space="preserve">Company assets and data are returned and checked; mailbox and file-storage data handled as per retention rules.</w:t>
      </w:r>
    </w:p>
    <w:p>
      <w:pPr>
        <w:pStyle w:val="ListParagraph"/>
        <w:numPr>
          <w:ilvl w:val="0"/>
          <w:numId w:val="2"/>
        </w:numPr>
        <w:spacing w:after="60" w:line="264"/>
      </w:pPr>
      <w:r>
        <w:rPr>
          <w:rFonts w:ascii="Arial" w:cs="Arial" w:eastAsia="Arial" w:hAnsi="Arial"/>
        </w:rPr>
        <w:t xml:space="preserve">Exit interview reminds the person of continuing confidentiality obligations.</w:t>
      </w:r>
    </w:p>
    <w:p>
      <w:pPr>
        <w:pStyle w:val="ListParagraph"/>
        <w:numPr>
          <w:ilvl w:val="0"/>
          <w:numId w:val="2"/>
        </w:numPr>
        <w:spacing w:after="60" w:line="264"/>
      </w:pPr>
      <w:r>
        <w:rPr>
          <w:rFonts w:ascii="Arial" w:cs="Arial" w:eastAsia="Arial" w:hAnsi="Arial"/>
        </w:rPr>
        <w:t xml:space="preserve">HR and IT reconcile the leaver list with active accounts every month.</w:t>
      </w:r>
    </w:p>
    <w:p>
      <w:pPr>
        <w:pStyle w:val="Heading1"/>
        <w:spacing w:after="120" w:before="280"/>
      </w:pPr>
      <w:r>
        <w:rPr>
          <w:rFonts w:ascii="Arial" w:cs="Arial" w:eastAsia="Arial" w:hAnsi="Arial"/>
        </w:rPr>
        <w:t xml:space="preserve">Compliance, monitoring and exceptions</w:t>
      </w:r>
    </w:p>
    <w:p>
      <w:pPr>
        <w:pStyle w:val="ListParagraph"/>
        <w:numPr>
          <w:ilvl w:val="0"/>
          <w:numId w:val="2"/>
        </w:numPr>
        <w:spacing w:after="60" w:line="264"/>
      </w:pPr>
      <w:r>
        <w:rPr>
          <w:rFonts w:ascii="Arial" w:cs="Arial" w:eastAsia="Arial" w:hAnsi="Arial"/>
        </w:rPr>
        <w:t xml:space="preserve">Compliance with this document is monitored by the Head of HR and the CISO and reviewed independently by Internal Audit and the annual SEBI system audit.</w:t>
      </w:r>
    </w:p>
    <w:p>
      <w:pPr>
        <w:pStyle w:val="ListParagraph"/>
        <w:numPr>
          <w:ilvl w:val="0"/>
          <w:numId w:val="2"/>
        </w:numPr>
        <w:spacing w:after="60" w:line="264"/>
      </w:pPr>
      <w:r>
        <w:rPr>
          <w:rFonts w:ascii="Arial" w:cs="Arial" w:eastAsia="Arial" w:hAnsi="Arial"/>
        </w:rPr>
        <w:t xml:space="preserve">Any exception must be requested in writing with the business reason, the risk, compensating controls and an end date. Exceptions are approved by the CISO (security) or the Head of IT (operations), recorded in the exception register and reported to the IT Strategy Committee every quarter. No exception may run beyond 12 months without re-approval.</w:t>
      </w:r>
    </w:p>
    <w:p>
      <w:pPr>
        <w:pStyle w:val="ListParagraph"/>
        <w:numPr>
          <w:ilvl w:val="0"/>
          <w:numId w:val="2"/>
        </w:numPr>
        <w:spacing w:after="60" w:line="264"/>
      </w:pPr>
      <w:r>
        <w:rPr>
          <w:rFonts w:ascii="Arial" w:cs="Arial" w:eastAsia="Arial" w:hAnsi="Arial"/>
        </w:rPr>
        <w:t xml:space="preserve">Breach of this document by an employee may lead to disciplinary action under the Company's HR policies; breach by a service provider is handled under the contract.</w:t>
      </w:r>
    </w:p>
    <w:p>
      <w:pPr>
        <w:pStyle w:val="Heading1"/>
        <w:spacing w:after="120" w:before="280"/>
      </w:pPr>
      <w:r>
        <w:rPr>
          <w:rFonts w:ascii="Arial" w:cs="Arial" w:eastAsia="Arial" w:hAnsi="Arial"/>
        </w:rPr>
        <w:t xml:space="preserve">Review</w:t>
      </w:r>
    </w:p>
    <w:p>
      <w:pPr>
        <w:spacing w:after="120" w:line="276"/>
      </w:pPr>
      <w:r>
        <w:rPr>
          <w:rFonts w:ascii="Arial" w:cs="Arial" w:eastAsia="Arial" w:hAnsi="Arial"/>
        </w:rPr>
        <w:t xml:space="preserve">This document is reviewed at least once a year, and earlier when there is a significant change in SEBI or other regulation, in the Company's technology, service providers or business, or after a significant incident. Changes are recommended by the IT Strategy Committee and approved by the Board.</w:t>
      </w:r>
    </w:p>
    <w:p>
      <w:pPr>
        <w:pStyle w:val="Heading1"/>
        <w:spacing w:after="120" w:before="280"/>
      </w:pPr>
      <w:r>
        <w:rPr>
          <w:rFonts w:ascii="Arial" w:cs="Arial" w:eastAsia="Arial" w:hAnsi="Arial"/>
        </w:rPr>
        <w:t xml:space="preserve">Annexure — Mapping to the SEBI system audit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tblHeader/>
        </w:trPr>
        <w:tc>
          <w:tcPr>
            <w:tcW w:type="dxa" w:w="15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Checklist point</w:t>
            </w:r>
          </w:p>
        </w:tc>
        <w:tc>
          <w:tcPr>
            <w:tcW w:type="dxa" w:w="45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w:t>
            </w:r>
          </w:p>
        </w:tc>
        <w:tc>
          <w:tcPr>
            <w:tcW w:type="dxa" w:w="30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Section of this document</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2b (procedure d)</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Human resource controls for information security</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Whole document</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2g</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HR controls — hiring, induction, acceptance of policies, background checks</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Sections 2–4</w:t>
            </w:r>
          </w:p>
        </w:tc>
      </w:tr>
    </w:tbl>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3A3"/>
        <w:sz w:val="16"/>
        <w:szCs w:val="16"/>
      </w:rPr>
      <w:t xml:space="preserve">Internal · </w:t>
    </w:r>
    <w:r>
      <w:rPr>
        <w:rFonts w:ascii="Arial" w:cs="Arial" w:eastAsia="Arial" w:hAnsi="Arial"/>
        <w:color w:val="8A93A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93A3"/>
        <w:sz w:val="16"/>
        <w:szCs w:val="16"/>
      </w:rPr>
      <w:t xml:space="preserve">Ashika Asset Management Limited · Human Resource Security Procedure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A7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Resource Security Procedure</dc:title>
  <dc:creator>Ashika Asset Management Limited</dc:creator>
  <dc:description>Draft policy</dc:description>
  <cp:lastModifiedBy>Un-named</cp:lastModifiedBy>
  <cp:revision>1</cp:revision>
  <dcterms:created xsi:type="dcterms:W3CDTF">2026-10-29T16:44:47.434Z</dcterms:created>
  <dcterms:modified xsi:type="dcterms:W3CDTF">2026-10-29T16:44:47.434Z</dcterms:modified>
</cp:coreProperties>
</file>

<file path=docProps/custom.xml><?xml version="1.0" encoding="utf-8"?>
<Properties xmlns="http://schemas.openxmlformats.org/officeDocument/2006/custom-properties" xmlns:vt="http://schemas.openxmlformats.org/officeDocument/2006/docPropsVTypes"/>
</file>