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475467"/>
          <w:sz w:val="26"/>
          <w:szCs w:val="26"/>
        </w:rPr>
        <w:t xml:space="preserve">Ashika Asset Management Limited</w:t>
      </w:r>
    </w:p>
    <w:p>
      <w:pPr>
        <w:spacing w:after="160"/>
      </w:pPr>
      <w:r>
        <w:rPr>
          <w:rFonts w:ascii="Arial" w:cs="Arial" w:eastAsia="Arial" w:hAnsi="Arial"/>
          <w:b/>
          <w:bCs/>
          <w:color w:val="1F3864"/>
          <w:sz w:val="44"/>
          <w:szCs w:val="44"/>
        </w:rPr>
        <w:t xml:space="preserve">Information Classification and Handling Procedure</w:t>
      </w:r>
    </w:p>
    <w:p>
      <w:pPr>
        <w:spacing w:after="600"/>
      </w:pPr>
      <w:r>
        <w:rPr>
          <w:rFonts w:ascii="Arial" w:cs="Arial" w:eastAsia="Arial" w:hAnsi="Arial"/>
          <w:color w:val="475467"/>
          <w:sz w:val="24"/>
          <w:szCs w:val="24"/>
        </w:rPr>
        <w:t xml:space="preserve">Classifying information and how it is stored, shared, kept and disposed of</w:t>
      </w:r>
    </w:p>
    <w:p>
      <w:pPr>
        <w:spacing w:after="200"/>
      </w:pPr>
      <w:r>
        <w:rPr>
          <w:rFonts w:ascii="Arial" w:cs="Arial" w:eastAsia="Arial" w:hAnsi="Arial"/>
          <w:i/>
          <w:iCs/>
          <w:color w:val="B54708"/>
          <w:sz w:val="20"/>
          <w:szCs w:val="20"/>
        </w:rPr>
        <w:t xml:space="preserve">DRAFT — for review by the IT Strategy Committee and approval by the Board. Text in [●] is to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64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Details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Information Classification and Handling Procedure</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 ID</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AAML-IS-PRC-06</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Version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 — DRAFT for review</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Classification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Owner</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CISO with the Compliance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Chief Information Security Officer (CISO); Compliance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Information Security Steering Committee</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Effective date</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 (date of Board approval)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 frequency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At least once a year, and on any significant change in regulation, technology or business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Applies to</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Ashika Asset Management Limited (the "Company" / "AMC") and, where stated, its service providers</w:t>
            </w:r>
          </w:p>
        </w:tc>
      </w:tr>
    </w:tbl>
    <w:p>
      <w:pPr>
        <w:spacing w:after="120" w:line="276"/>
      </w:pPr>
    </w:p>
    <w:p>
      <w:pPr>
        <w:pStyle w:val="Heading2"/>
        <w:spacing w:after="100" w:before="200"/>
      </w:pPr>
      <w:r>
        <w:rPr>
          <w:rFonts w:ascii="Arial" w:cs="Arial" w:eastAsia="Arial" w:hAnsi="Arial"/>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826"/>
        <w:gridCol w:w="2500"/>
      </w:tblGrid>
      <w:tr>
        <w:trPr>
          <w:tblHeader/>
        </w:trPr>
        <w:tc>
          <w:tcPr>
            <w:tcW w:type="dxa" w:w="11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Version</w:t>
            </w:r>
          </w:p>
        </w:tc>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c>
          <w:tcPr>
            <w:tcW w:type="dxa" w:w="38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Change</w:t>
            </w:r>
          </w:p>
        </w:tc>
        <w:tc>
          <w:tcPr>
            <w:tcW w:type="dxa" w:w="2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Author / Approver</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First draft for review</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bl>
    <w:p>
      <w:r>
        <w:br w:type="page"/>
      </w:r>
    </w:p>
    <w:p>
      <w:pPr>
        <w:spacing w:after="120"/>
      </w:pPr>
      <w:r>
        <w:rPr>
          <w:rFonts w:ascii="Arial" w:cs="Arial" w:eastAsia="Arial" w:hAnsi="Arial"/>
          <w:b/>
          <w:bCs/>
          <w:color w:val="1F3864"/>
          <w:sz w:val="28"/>
          <w:szCs w:val="28"/>
        </w:rPr>
        <w:t xml:space="preserve">Contents</w:t>
      </w:r>
    </w:p>
    <w:p>
      <w:pPr>
        <w:spacing w:after="80"/>
      </w:pPr>
      <w:r>
        <w:rPr>
          <w:rFonts w:ascii="Arial" w:cs="Arial" w:eastAsia="Arial" w:hAnsi="Arial"/>
          <w:sz w:val="21"/>
          <w:szCs w:val="21"/>
        </w:rPr>
        <w:t xml:space="preserve">1. Purpose and scope</w:t>
      </w:r>
    </w:p>
    <w:p>
      <w:pPr>
        <w:spacing w:after="80"/>
      </w:pPr>
      <w:r>
        <w:rPr>
          <w:rFonts w:ascii="Arial" w:cs="Arial" w:eastAsia="Arial" w:hAnsi="Arial"/>
          <w:sz w:val="21"/>
          <w:szCs w:val="21"/>
        </w:rPr>
        <w:t xml:space="preserve">2. Classification levels</w:t>
      </w:r>
    </w:p>
    <w:p>
      <w:pPr>
        <w:spacing w:after="80"/>
      </w:pPr>
      <w:r>
        <w:rPr>
          <w:rFonts w:ascii="Arial" w:cs="Arial" w:eastAsia="Arial" w:hAnsi="Arial"/>
          <w:sz w:val="21"/>
          <w:szCs w:val="21"/>
        </w:rPr>
        <w:t xml:space="preserve">3. Handling rules</w:t>
      </w:r>
    </w:p>
    <w:p>
      <w:pPr>
        <w:spacing w:after="80"/>
      </w:pPr>
      <w:r>
        <w:rPr>
          <w:rFonts w:ascii="Arial" w:cs="Arial" w:eastAsia="Arial" w:hAnsi="Arial"/>
          <w:sz w:val="21"/>
          <w:szCs w:val="21"/>
        </w:rPr>
        <w:t xml:space="preserve">4. Responsibilities</w:t>
      </w:r>
    </w:p>
    <w:p>
      <w:pPr>
        <w:spacing w:after="80"/>
      </w:pPr>
      <w:r>
        <w:rPr>
          <w:rFonts w:ascii="Arial" w:cs="Arial" w:eastAsia="Arial" w:hAnsi="Arial"/>
          <w:sz w:val="21"/>
          <w:szCs w:val="21"/>
        </w:rPr>
        <w:t xml:space="preserve">Compliance, monitoring and exceptions</w:t>
      </w:r>
    </w:p>
    <w:p>
      <w:pPr>
        <w:spacing w:after="80"/>
      </w:pPr>
      <w:r>
        <w:rPr>
          <w:rFonts w:ascii="Arial" w:cs="Arial" w:eastAsia="Arial" w:hAnsi="Arial"/>
          <w:sz w:val="21"/>
          <w:szCs w:val="21"/>
        </w:rPr>
        <w:t xml:space="preserve">Review</w:t>
      </w:r>
    </w:p>
    <w:p>
      <w:pPr>
        <w:spacing w:after="80"/>
      </w:pPr>
      <w:r>
        <w:rPr>
          <w:rFonts w:ascii="Arial" w:cs="Arial" w:eastAsia="Arial" w:hAnsi="Arial"/>
          <w:sz w:val="21"/>
          <w:szCs w:val="21"/>
        </w:rPr>
        <w:t xml:space="preserve">Annexure — Mapping to the SEBI system audit checklist</w:t>
      </w:r>
    </w:p>
    <w:p>
      <w:r>
        <w:br w:type="page"/>
      </w:r>
    </w:p>
    <w:p>
      <w:pPr>
        <w:pStyle w:val="Heading1"/>
        <w:spacing w:after="120" w:before="280"/>
      </w:pPr>
      <w:r>
        <w:rPr>
          <w:rFonts w:ascii="Arial" w:cs="Arial" w:eastAsia="Arial" w:hAnsi="Arial"/>
        </w:rPr>
        <w:t xml:space="preserve">1. Purpose and scope</w:t>
      </w:r>
    </w:p>
    <w:p>
      <w:pPr>
        <w:spacing w:after="120" w:line="276"/>
      </w:pPr>
      <w:r>
        <w:rPr>
          <w:rFonts w:ascii="Arial" w:cs="Arial" w:eastAsia="Arial" w:hAnsi="Arial"/>
        </w:rPr>
        <w:t xml:space="preserve">Defines four classification levels and the handling rules for each, so that information is protected according to its sensitivity. Applies to all information in any form.</w:t>
      </w:r>
    </w:p>
    <w:p>
      <w:pPr>
        <w:pStyle w:val="Heading1"/>
        <w:spacing w:after="120" w:before="280"/>
      </w:pPr>
      <w:r>
        <w:rPr>
          <w:rFonts w:ascii="Arial" w:cs="Arial" w:eastAsia="Arial" w:hAnsi="Arial"/>
        </w:rPr>
        <w:t xml:space="preserve">2. Classification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rPr>
          <w:tblHeader/>
        </w:trPr>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Level</w:t>
            </w:r>
          </w:p>
        </w:tc>
        <w:tc>
          <w:tcPr>
            <w:tcW w:type="dxa" w:w="28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Meaning</w:t>
            </w:r>
          </w:p>
        </w:tc>
        <w:tc>
          <w:tcPr>
            <w:tcW w:type="dxa" w:w="46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Examples</w:t>
            </w:r>
          </w:p>
        </w:tc>
      </w:tr>
      <w:tr>
        <w:trPr>
          <w:tblHeader w:val="false"/>
        </w:trPr>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Restricted</w:t>
            </w:r>
          </w:p>
        </w:tc>
        <w:tc>
          <w:tcPr>
            <w:tcW w:type="dxa" w:w="28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Serious harm or regulatory breach if disclosed</w:t>
            </w:r>
          </w:p>
        </w:tc>
        <w:tc>
          <w:tcPr>
            <w:tcW w:type="dxa" w:w="46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Investor personal data and KYC, unpublished portfolio / trading information, price-sensitive information, passwords and keys, Board papers on strategy</w:t>
            </w:r>
          </w:p>
        </w:tc>
      </w:tr>
      <w:tr>
        <w:trPr>
          <w:tblHeader w:val="false"/>
        </w:trPr>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Confidential</w:t>
            </w:r>
          </w:p>
        </w:tc>
        <w:tc>
          <w:tcPr>
            <w:tcW w:type="dxa" w:w="28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Harm to the Company or investors if disclosed</w:t>
            </w:r>
          </w:p>
        </w:tc>
        <w:tc>
          <w:tcPr>
            <w:tcW w:type="dxa" w:w="46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 financials, contracts, audit reports, vendor data, HR records</w:t>
            </w:r>
          </w:p>
        </w:tc>
      </w:tr>
      <w:tr>
        <w:trPr>
          <w:tblHeader w:val="false"/>
        </w:trPr>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w:t>
            </w:r>
          </w:p>
        </w:tc>
        <w:tc>
          <w:tcPr>
            <w:tcW w:type="dxa" w:w="28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For employees and authorised partners</w:t>
            </w:r>
          </w:p>
        </w:tc>
        <w:tc>
          <w:tcPr>
            <w:tcW w:type="dxa" w:w="46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Policies, procedures, internal communication</w:t>
            </w:r>
          </w:p>
        </w:tc>
      </w:tr>
      <w:tr>
        <w:trPr>
          <w:tblHeader w:val="false"/>
        </w:trPr>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Public</w:t>
            </w:r>
          </w:p>
        </w:tc>
        <w:tc>
          <w:tcPr>
            <w:tcW w:type="dxa" w:w="28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for public release</w:t>
            </w:r>
          </w:p>
        </w:tc>
        <w:tc>
          <w:tcPr>
            <w:tcW w:type="dxa" w:w="46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Published NAVs, scheme documents, factsheets, website content</w:t>
            </w:r>
          </w:p>
        </w:tc>
      </w:tr>
    </w:tbl>
    <w:p>
      <w:pPr>
        <w:spacing w:after="120" w:line="276"/>
      </w:pPr>
    </w:p>
    <w:p>
      <w:pPr>
        <w:spacing w:after="120" w:line="276"/>
      </w:pPr>
      <w:r>
        <w:rPr>
          <w:rFonts w:ascii="Arial" w:cs="Arial" w:eastAsia="Arial" w:hAnsi="Arial"/>
        </w:rPr>
        <w:t xml:space="preserve">The information owner assigns the classification; if not marked, treat information as Confidential. Sensitivity labels in the email and file-storage platform implement these levels.</w:t>
      </w:r>
    </w:p>
    <w:p>
      <w:pPr>
        <w:pStyle w:val="Heading1"/>
        <w:spacing w:after="120" w:before="280"/>
      </w:pPr>
      <w:r>
        <w:rPr>
          <w:rFonts w:ascii="Arial" w:cs="Arial" w:eastAsia="Arial" w:hAnsi="Arial"/>
        </w:rPr>
        <w:t xml:space="preserve">3. Handling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26"/>
        <w:gridCol w:w="2600"/>
        <w:gridCol w:w="2000"/>
      </w:tblGrid>
      <w:tr>
        <w:trPr>
          <w:tblHeader/>
        </w:trPr>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Activity</w:t>
            </w:r>
          </w:p>
        </w:tc>
        <w:tc>
          <w:tcPr>
            <w:tcW w:type="dxa" w:w="28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Restricted</w:t>
            </w:r>
          </w:p>
        </w:tc>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Confidential</w:t>
            </w:r>
          </w:p>
        </w:tc>
        <w:tc>
          <w:tcPr>
            <w:tcW w:type="dxa" w:w="2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Internal</w:t>
            </w:r>
          </w:p>
        </w:tc>
      </w:tr>
      <w:tr>
        <w:trPr>
          <w:tblHeader w:val="false"/>
        </w:trPr>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Storage</w:t>
            </w:r>
          </w:p>
        </w:tc>
        <w:tc>
          <w:tcPr>
            <w:tcW w:type="dxa" w:w="2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systems only (core applications, labelled file-storage sites); encrypted; no personal devices</w:t>
            </w:r>
          </w:p>
        </w:tc>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Company systems</w:t>
            </w:r>
          </w:p>
        </w:tc>
        <w:tc>
          <w:tcPr>
            <w:tcW w:type="dxa" w:w="2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Company systems</w:t>
            </w:r>
          </w:p>
        </w:tc>
      </w:tr>
      <w:tr>
        <w:trPr>
          <w:tblHeader w:val="false"/>
        </w:trPr>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Sharing inside</w:t>
            </w:r>
          </w:p>
        </w:tc>
        <w:tc>
          <w:tcPr>
            <w:tcW w:type="dxa" w:w="2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Named need-to-know only</w:t>
            </w:r>
          </w:p>
        </w:tc>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Need-to-know</w:t>
            </w:r>
          </w:p>
        </w:tc>
        <w:tc>
          <w:tcPr>
            <w:tcW w:type="dxa" w:w="2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Employees</w:t>
            </w:r>
          </w:p>
        </w:tc>
      </w:tr>
      <w:tr>
        <w:trPr>
          <w:tblHeader w:val="false"/>
        </w:trPr>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Sharing outside</w:t>
            </w:r>
          </w:p>
        </w:tc>
        <w:tc>
          <w:tcPr>
            <w:tcW w:type="dxa" w:w="2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Only with approval, encrypted, to contracted parties</w:t>
            </w:r>
          </w:p>
        </w:tc>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Contracted parties under NDA, encrypted where possible</w:t>
            </w:r>
          </w:p>
        </w:tc>
        <w:tc>
          <w:tcPr>
            <w:tcW w:type="dxa" w:w="2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Partners as needed</w:t>
            </w:r>
          </w:p>
        </w:tc>
      </w:tr>
      <w:tr>
        <w:trPr>
          <w:tblHeader w:val="false"/>
        </w:trPr>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Email</w:t>
            </w:r>
          </w:p>
        </w:tc>
        <w:tc>
          <w:tcPr>
            <w:tcW w:type="dxa" w:w="2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Encrypted label; no forwarding to personal email</w:t>
            </w:r>
          </w:p>
        </w:tc>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Labelled; external with care</w:t>
            </w:r>
          </w:p>
        </w:tc>
        <w:tc>
          <w:tcPr>
            <w:tcW w:type="dxa" w:w="2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Normal</w:t>
            </w:r>
          </w:p>
        </w:tc>
      </w:tr>
      <w:tr>
        <w:trPr>
          <w:tblHeader w:val="false"/>
        </w:trPr>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Printing</w:t>
            </w:r>
          </w:p>
        </w:tc>
        <w:tc>
          <w:tcPr>
            <w:tcW w:type="dxa" w:w="2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Avoid; print-release; collect immediately</w:t>
            </w:r>
          </w:p>
        </w:tc>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Print-release</w:t>
            </w:r>
          </w:p>
        </w:tc>
        <w:tc>
          <w:tcPr>
            <w:tcW w:type="dxa" w:w="2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Normal</w:t>
            </w:r>
          </w:p>
        </w:tc>
      </w:tr>
      <w:tr>
        <w:trPr>
          <w:tblHeader w:val="false"/>
        </w:trPr>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Retention</w:t>
            </w:r>
          </w:p>
        </w:tc>
        <w:tc>
          <w:tcPr>
            <w:tcW w:type="dxa" w:w="2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 per record-retention schedule (SEBI and other law)</w:t>
            </w:r>
          </w:p>
        </w:tc>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 per schedule</w:t>
            </w:r>
          </w:p>
        </w:tc>
        <w:tc>
          <w:tcPr>
            <w:tcW w:type="dxa" w:w="2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 per schedule</w:t>
            </w:r>
          </w:p>
        </w:tc>
      </w:tr>
      <w:tr>
        <w:trPr>
          <w:tblHeader w:val="false"/>
        </w:trPr>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Disposal</w:t>
            </w:r>
          </w:p>
        </w:tc>
        <w:tc>
          <w:tcPr>
            <w:tcW w:type="dxa" w:w="2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Shred (cross-cut) / secure wipe with certificate</w:t>
            </w:r>
          </w:p>
        </w:tc>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Shred / secure delete</w:t>
            </w:r>
          </w:p>
        </w:tc>
        <w:tc>
          <w:tcPr>
            <w:tcW w:type="dxa" w:w="2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Normal deletion</w:t>
            </w:r>
          </w:p>
        </w:tc>
      </w:tr>
    </w:tbl>
    <w:p>
      <w:pPr>
        <w:spacing w:after="120" w:line="276"/>
      </w:pPr>
    </w:p>
    <w:p>
      <w:pPr>
        <w:pStyle w:val="Heading1"/>
        <w:spacing w:after="120" w:before="280"/>
      </w:pPr>
      <w:r>
        <w:rPr>
          <w:rFonts w:ascii="Arial" w:cs="Arial" w:eastAsia="Arial" w:hAnsi="Arial"/>
        </w:rPr>
        <w:t xml:space="preserve">4. Responsibilities</w:t>
      </w:r>
    </w:p>
    <w:p>
      <w:pPr>
        <w:pStyle w:val="ListParagraph"/>
        <w:numPr>
          <w:ilvl w:val="0"/>
          <w:numId w:val="2"/>
        </w:numPr>
        <w:spacing w:after="60" w:line="264"/>
      </w:pPr>
      <w:r>
        <w:rPr>
          <w:rFonts w:ascii="Arial" w:cs="Arial" w:eastAsia="Arial" w:hAnsi="Arial"/>
        </w:rPr>
        <w:t xml:space="preserve">Information owners classify and review classification every year.</w:t>
      </w:r>
    </w:p>
    <w:p>
      <w:pPr>
        <w:pStyle w:val="ListParagraph"/>
        <w:numPr>
          <w:ilvl w:val="0"/>
          <w:numId w:val="2"/>
        </w:numPr>
        <w:spacing w:after="60" w:line="264"/>
      </w:pPr>
      <w:r>
        <w:rPr>
          <w:rFonts w:ascii="Arial" w:cs="Arial" w:eastAsia="Arial" w:hAnsi="Arial"/>
        </w:rPr>
        <w:t xml:space="preserve">Users apply labels and follow handling rules.</w:t>
      </w:r>
    </w:p>
    <w:p>
      <w:pPr>
        <w:pStyle w:val="ListParagraph"/>
        <w:numPr>
          <w:ilvl w:val="0"/>
          <w:numId w:val="2"/>
        </w:numPr>
        <w:spacing w:after="60" w:line="264"/>
      </w:pPr>
      <w:r>
        <w:rPr>
          <w:rFonts w:ascii="Arial" w:cs="Arial" w:eastAsia="Arial" w:hAnsi="Arial"/>
        </w:rPr>
        <w:t xml:space="preserve">IT configures labels, DLP rules and retention in the email and file-storage platform.</w:t>
      </w:r>
    </w:p>
    <w:p>
      <w:pPr>
        <w:pStyle w:val="ListParagraph"/>
        <w:numPr>
          <w:ilvl w:val="0"/>
          <w:numId w:val="2"/>
        </w:numPr>
        <w:spacing w:after="60" w:line="264"/>
      </w:pPr>
      <w:r>
        <w:rPr>
          <w:rFonts w:ascii="Arial" w:cs="Arial" w:eastAsia="Arial" w:hAnsi="Arial"/>
        </w:rPr>
        <w:t xml:space="preserve">The CISO monitors DLP alerts and handling exceptions.</w:t>
      </w:r>
    </w:p>
    <w:p>
      <w:pPr>
        <w:pStyle w:val="Heading1"/>
        <w:spacing w:after="120" w:before="280"/>
      </w:pPr>
      <w:r>
        <w:rPr>
          <w:rFonts w:ascii="Arial" w:cs="Arial" w:eastAsia="Arial" w:hAnsi="Arial"/>
        </w:rPr>
        <w:t xml:space="preserve">Compliance, monitoring and exceptions</w:t>
      </w:r>
    </w:p>
    <w:p>
      <w:pPr>
        <w:pStyle w:val="ListParagraph"/>
        <w:numPr>
          <w:ilvl w:val="0"/>
          <w:numId w:val="2"/>
        </w:numPr>
        <w:spacing w:after="60" w:line="264"/>
      </w:pPr>
      <w:r>
        <w:rPr>
          <w:rFonts w:ascii="Arial" w:cs="Arial" w:eastAsia="Arial" w:hAnsi="Arial"/>
        </w:rPr>
        <w:t xml:space="preserve">Compliance with this document is monitored by the CISO and reviewed independently by Internal Audit and the annual SEBI system audit.</w:t>
      </w:r>
    </w:p>
    <w:p>
      <w:pPr>
        <w:pStyle w:val="ListParagraph"/>
        <w:numPr>
          <w:ilvl w:val="0"/>
          <w:numId w:val="2"/>
        </w:numPr>
        <w:spacing w:after="60" w:line="264"/>
      </w:pPr>
      <w:r>
        <w:rPr>
          <w:rFonts w:ascii="Arial" w:cs="Arial" w:eastAsia="Arial" w:hAnsi="Arial"/>
        </w:rPr>
        <w:t xml:space="preserve">Any exception must be requested in writing with the business reason, the risk, compensating controls and an end date. Exceptions are approved by the CISO (security) or the Head of IT (operations), recorded in the exception register and reported to the IT Strategy Committee every quarter. No exception may run beyond 12 months without re-approval.</w:t>
      </w:r>
    </w:p>
    <w:p>
      <w:pPr>
        <w:pStyle w:val="ListParagraph"/>
        <w:numPr>
          <w:ilvl w:val="0"/>
          <w:numId w:val="2"/>
        </w:numPr>
        <w:spacing w:after="60" w:line="264"/>
      </w:pPr>
      <w:r>
        <w:rPr>
          <w:rFonts w:ascii="Arial" w:cs="Arial" w:eastAsia="Arial" w:hAnsi="Arial"/>
        </w:rPr>
        <w:t xml:space="preserve">Breach of this document by an employee may lead to disciplinary action under the Company's HR policies; breach by a service provider is handled under the contract.</w:t>
      </w:r>
    </w:p>
    <w:p>
      <w:pPr>
        <w:pStyle w:val="Heading1"/>
        <w:spacing w:after="120" w:before="280"/>
      </w:pPr>
      <w:r>
        <w:rPr>
          <w:rFonts w:ascii="Arial" w:cs="Arial" w:eastAsia="Arial" w:hAnsi="Arial"/>
        </w:rPr>
        <w:t xml:space="preserve">Review</w:t>
      </w:r>
    </w:p>
    <w:p>
      <w:pPr>
        <w:spacing w:after="120" w:line="276"/>
      </w:pPr>
      <w:r>
        <w:rPr>
          <w:rFonts w:ascii="Arial" w:cs="Arial" w:eastAsia="Arial" w:hAnsi="Arial"/>
        </w:rPr>
        <w:t xml:space="preserve">This document is reviewed at least once a year, and earlier when there is a significant change in SEBI or other regulation, in the Company's technology, service providers or business, or after a significant incident. Changes are recommended by the IT Strategy Committee and approved by the Board.</w:t>
      </w:r>
    </w:p>
    <w:p>
      <w:pPr>
        <w:pStyle w:val="Heading1"/>
        <w:spacing w:after="120" w:before="280"/>
      </w:pPr>
      <w:r>
        <w:rPr>
          <w:rFonts w:ascii="Arial" w:cs="Arial" w:eastAsia="Arial" w:hAnsi="Arial"/>
        </w:rPr>
        <w:t xml:space="preserve">Annexure — Mapping to the SEBI system audit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Checklist point</w:t>
            </w:r>
          </w:p>
        </w:tc>
        <w:tc>
          <w:tcPr>
            <w:tcW w:type="dxa" w:w="45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3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Section of this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(procedure e)</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Information classification guidance and process, including storage, transmission and disposal</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Whole document</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A3"/>
        <w:sz w:val="16"/>
        <w:szCs w:val="16"/>
      </w:rPr>
      <w:t xml:space="preserve">Internal · </w:t>
    </w:r>
    <w:r>
      <w:rPr>
        <w:rFonts w:ascii="Arial" w:cs="Arial" w:eastAsia="Arial" w:hAnsi="Arial"/>
        <w:color w:val="8A93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3A3"/>
        <w:sz w:val="16"/>
        <w:szCs w:val="16"/>
      </w:rPr>
      <w:t xml:space="preserve">Ashika Asset Management Limited · Information Classification and Handling Procedure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Classification and Handling Procedure</dc:title>
  <dc:creator>Ashika Asset Management Limited</dc:creator>
  <dc:description>Draft policy</dc:description>
  <cp:lastModifiedBy>Un-named</cp:lastModifiedBy>
  <cp:revision>1</cp:revision>
  <dcterms:created xsi:type="dcterms:W3CDTF">2026-10-29T16:44:47.465Z</dcterms:created>
  <dcterms:modified xsi:type="dcterms:W3CDTF">2026-10-29T16:44:47.465Z</dcterms:modified>
</cp:coreProperties>
</file>

<file path=docProps/custom.xml><?xml version="1.0" encoding="utf-8"?>
<Properties xmlns="http://schemas.openxmlformats.org/officeDocument/2006/custom-properties" xmlns:vt="http://schemas.openxmlformats.org/officeDocument/2006/docPropsVTypes"/>
</file>