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Privacy and Personal Data Protection Policy</w:t>
      </w:r>
    </w:p>
    <w:p>
      <w:pPr>
        <w:spacing w:after="600"/>
      </w:pPr>
      <w:r>
        <w:rPr>
          <w:rFonts w:ascii="Arial" w:cs="Arial" w:eastAsia="Arial" w:hAnsi="Arial"/>
          <w:color w:val="475467"/>
          <w:sz w:val="24"/>
          <w:szCs w:val="24"/>
        </w:rPr>
        <w:t xml:space="preserve">Protection of personal data of investors, distributors, employees and others under the DPDP Act</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Privacy and Personal Data Protection Policy</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AAML-IS-POL-07</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Protection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 and scope</w:t>
      </w:r>
    </w:p>
    <w:p>
      <w:pPr>
        <w:spacing w:after="80"/>
      </w:pPr>
      <w:r>
        <w:rPr>
          <w:rFonts w:ascii="Arial" w:cs="Arial" w:eastAsia="Arial" w:hAnsi="Arial"/>
          <w:sz w:val="21"/>
          <w:szCs w:val="21"/>
        </w:rPr>
        <w:t xml:space="preserve">2. Principles</w:t>
      </w:r>
    </w:p>
    <w:p>
      <w:pPr>
        <w:spacing w:after="80"/>
      </w:pPr>
      <w:r>
        <w:rPr>
          <w:rFonts w:ascii="Arial" w:cs="Arial" w:eastAsia="Arial" w:hAnsi="Arial"/>
          <w:sz w:val="21"/>
          <w:szCs w:val="21"/>
        </w:rPr>
        <w:t xml:space="preserve">3. Rights of data principals</w:t>
      </w:r>
    </w:p>
    <w:p>
      <w:pPr>
        <w:spacing w:after="80"/>
      </w:pPr>
      <w:r>
        <w:rPr>
          <w:rFonts w:ascii="Arial" w:cs="Arial" w:eastAsia="Arial" w:hAnsi="Arial"/>
          <w:sz w:val="21"/>
          <w:szCs w:val="21"/>
        </w:rPr>
        <w:t xml:space="preserve">4. Processors and sharing</w:t>
      </w:r>
    </w:p>
    <w:p>
      <w:pPr>
        <w:spacing w:after="80"/>
      </w:pPr>
      <w:r>
        <w:rPr>
          <w:rFonts w:ascii="Arial" w:cs="Arial" w:eastAsia="Arial" w:hAnsi="Arial"/>
          <w:sz w:val="21"/>
          <w:szCs w:val="21"/>
        </w:rPr>
        <w:t xml:space="preserve">5. Personal data breach</w:t>
      </w:r>
    </w:p>
    <w:p>
      <w:pPr>
        <w:spacing w:after="80"/>
      </w:pPr>
      <w:r>
        <w:rPr>
          <w:rFonts w:ascii="Arial" w:cs="Arial" w:eastAsia="Arial" w:hAnsi="Arial"/>
          <w:sz w:val="21"/>
          <w:szCs w:val="21"/>
        </w:rPr>
        <w:t xml:space="preserve">6. Children's data</w:t>
      </w:r>
    </w:p>
    <w:p>
      <w:pPr>
        <w:spacing w:after="80"/>
      </w:pPr>
      <w:r>
        <w:rPr>
          <w:rFonts w:ascii="Arial" w:cs="Arial" w:eastAsia="Arial" w:hAnsi="Arial"/>
          <w:sz w:val="21"/>
          <w:szCs w:val="21"/>
        </w:rPr>
        <w:t xml:space="preserve">7. Roles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 and scope</w:t>
      </w:r>
    </w:p>
    <w:p>
      <w:pPr>
        <w:spacing w:after="120" w:line="276"/>
      </w:pPr>
      <w:r>
        <w:rPr>
          <w:rFonts w:ascii="Arial" w:cs="Arial" w:eastAsia="Arial" w:hAnsi="Arial"/>
        </w:rPr>
        <w:t xml:space="preserve">Sets how the Company collects, uses, shares, retains and protects personal data, and how it meets the Digital Personal Data Protection Act, 2023 and Rules, 2025, SEBI requirements and contractual obligations. Covers personal data of investors, prospective investors, distributors, employees, candidates and vendor contacts, whether processed by the Company or by its processors.</w:t>
      </w:r>
    </w:p>
    <w:p>
      <w:pPr>
        <w:pStyle w:val="Heading1"/>
        <w:spacing w:after="120" w:before="280"/>
      </w:pPr>
      <w:r>
        <w:rPr>
          <w:rFonts w:ascii="Arial" w:cs="Arial" w:eastAsia="Arial" w:hAnsi="Arial"/>
        </w:rPr>
        <w:t xml:space="preserve">2. Principles</w:t>
      </w:r>
    </w:p>
    <w:p>
      <w:pPr>
        <w:pStyle w:val="ListParagraph"/>
        <w:numPr>
          <w:ilvl w:val="0"/>
          <w:numId w:val="2"/>
        </w:numPr>
        <w:spacing w:after="60" w:line="264"/>
      </w:pPr>
      <w:r>
        <w:rPr>
          <w:rFonts w:ascii="Arial" w:cs="Arial" w:eastAsia="Arial" w:hAnsi="Arial"/>
          <w:b/>
          <w:bCs/>
        </w:rPr>
        <w:t xml:space="preserve">Lawful purpose and notice</w:t>
      </w:r>
      <w:r>
        <w:rPr>
          <w:rFonts w:ascii="Arial" w:cs="Arial" w:eastAsia="Arial" w:hAnsi="Arial"/>
        </w:rPr>
        <w:t xml:space="preserve"> — personal data is processed only for specified lawful purposes, with a clear privacy notice (in English and, on request, in languages listed in the Eighth Schedule).</w:t>
      </w:r>
    </w:p>
    <w:p>
      <w:pPr>
        <w:pStyle w:val="ListParagraph"/>
        <w:numPr>
          <w:ilvl w:val="0"/>
          <w:numId w:val="2"/>
        </w:numPr>
        <w:spacing w:after="60" w:line="264"/>
      </w:pPr>
      <w:r>
        <w:rPr>
          <w:rFonts w:ascii="Arial" w:cs="Arial" w:eastAsia="Arial" w:hAnsi="Arial"/>
          <w:b/>
          <w:bCs/>
        </w:rPr>
        <w:t xml:space="preserve">Consent or legitimate use</w:t>
      </w:r>
      <w:r>
        <w:rPr>
          <w:rFonts w:ascii="Arial" w:cs="Arial" w:eastAsia="Arial" w:hAnsi="Arial"/>
        </w:rPr>
        <w:t xml:space="preserve"> — consent is free, specific, informed and withdrawable, except where processing is required by law (for example KYC / AML, SEBI record-keeping).</w:t>
      </w:r>
    </w:p>
    <w:p>
      <w:pPr>
        <w:pStyle w:val="ListParagraph"/>
        <w:numPr>
          <w:ilvl w:val="0"/>
          <w:numId w:val="2"/>
        </w:numPr>
        <w:spacing w:after="60" w:line="264"/>
      </w:pPr>
      <w:r>
        <w:rPr>
          <w:rFonts w:ascii="Arial" w:cs="Arial" w:eastAsia="Arial" w:hAnsi="Arial"/>
          <w:b/>
          <w:bCs/>
        </w:rPr>
        <w:t xml:space="preserve">Data minimisation</w:t>
      </w:r>
      <w:r>
        <w:rPr>
          <w:rFonts w:ascii="Arial" w:cs="Arial" w:eastAsia="Arial" w:hAnsi="Arial"/>
        </w:rPr>
        <w:t xml:space="preserve"> — only data needed for the purpose is collected.</w:t>
      </w:r>
    </w:p>
    <w:p>
      <w:pPr>
        <w:pStyle w:val="ListParagraph"/>
        <w:numPr>
          <w:ilvl w:val="0"/>
          <w:numId w:val="2"/>
        </w:numPr>
        <w:spacing w:after="60" w:line="264"/>
      </w:pPr>
      <w:r>
        <w:rPr>
          <w:rFonts w:ascii="Arial" w:cs="Arial" w:eastAsia="Arial" w:hAnsi="Arial"/>
          <w:b/>
          <w:bCs/>
        </w:rPr>
        <w:t xml:space="preserve">Accuracy</w:t>
      </w:r>
      <w:r>
        <w:rPr>
          <w:rFonts w:ascii="Arial" w:cs="Arial" w:eastAsia="Arial" w:hAnsi="Arial"/>
        </w:rPr>
        <w:t xml:space="preserve"> — data is kept accurate and updated on request.</w:t>
      </w:r>
    </w:p>
    <w:p>
      <w:pPr>
        <w:pStyle w:val="ListParagraph"/>
        <w:numPr>
          <w:ilvl w:val="0"/>
          <w:numId w:val="2"/>
        </w:numPr>
        <w:spacing w:after="60" w:line="264"/>
      </w:pPr>
      <w:r>
        <w:rPr>
          <w:rFonts w:ascii="Arial" w:cs="Arial" w:eastAsia="Arial" w:hAnsi="Arial"/>
          <w:b/>
          <w:bCs/>
        </w:rPr>
        <w:t xml:space="preserve">Storage limitation</w:t>
      </w:r>
      <w:r>
        <w:rPr>
          <w:rFonts w:ascii="Arial" w:cs="Arial" w:eastAsia="Arial" w:hAnsi="Arial"/>
        </w:rPr>
        <w:t xml:space="preserve"> — data is deleted when no longer needed, subject to retention required by SEBI, PMLA and other law.</w:t>
      </w:r>
    </w:p>
    <w:p>
      <w:pPr>
        <w:pStyle w:val="ListParagraph"/>
        <w:numPr>
          <w:ilvl w:val="0"/>
          <w:numId w:val="2"/>
        </w:numPr>
        <w:spacing w:after="60" w:line="264"/>
      </w:pPr>
      <w:r>
        <w:rPr>
          <w:rFonts w:ascii="Arial" w:cs="Arial" w:eastAsia="Arial" w:hAnsi="Arial"/>
          <w:b/>
          <w:bCs/>
        </w:rPr>
        <w:t xml:space="preserve">Security</w:t>
      </w:r>
      <w:r>
        <w:rPr>
          <w:rFonts w:ascii="Arial" w:cs="Arial" w:eastAsia="Arial" w:hAnsi="Arial"/>
        </w:rPr>
        <w:t xml:space="preserve"> — reasonable security safeguards as per the Information Security Policy.</w:t>
      </w:r>
    </w:p>
    <w:p>
      <w:pPr>
        <w:pStyle w:val="ListParagraph"/>
        <w:numPr>
          <w:ilvl w:val="0"/>
          <w:numId w:val="2"/>
        </w:numPr>
        <w:spacing w:after="60" w:line="264"/>
      </w:pPr>
      <w:r>
        <w:rPr>
          <w:rFonts w:ascii="Arial" w:cs="Arial" w:eastAsia="Arial" w:hAnsi="Arial"/>
          <w:b/>
          <w:bCs/>
        </w:rPr>
        <w:t xml:space="preserve">Accountability</w:t>
      </w:r>
      <w:r>
        <w:rPr>
          <w:rFonts w:ascii="Arial" w:cs="Arial" w:eastAsia="Arial" w:hAnsi="Arial"/>
        </w:rPr>
        <w:t xml:space="preserve"> — the Company is responsible for processing by its processors.</w:t>
      </w:r>
    </w:p>
    <w:p>
      <w:pPr>
        <w:pStyle w:val="Heading1"/>
        <w:spacing w:after="120" w:before="280"/>
      </w:pPr>
      <w:r>
        <w:rPr>
          <w:rFonts w:ascii="Arial" w:cs="Arial" w:eastAsia="Arial" w:hAnsi="Arial"/>
        </w:rPr>
        <w:t xml:space="preserve">3. Rights of data principals</w:t>
      </w:r>
    </w:p>
    <w:p>
      <w:pPr>
        <w:spacing w:after="120" w:line="276"/>
      </w:pPr>
      <w:r>
        <w:rPr>
          <w:rFonts w:ascii="Arial" w:cs="Arial" w:eastAsia="Arial" w:hAnsi="Arial"/>
        </w:rPr>
        <w:t xml:space="preserve">Investors and other data principals can ask for: a summary of their personal data and processing; correction, completion or updating; erasure where retention is not required by law; grievance redressal; and nomination of another person to exercise rights.</w:t>
      </w:r>
    </w:p>
    <w:p>
      <w:pPr>
        <w:pStyle w:val="ListParagraph"/>
        <w:numPr>
          <w:ilvl w:val="0"/>
          <w:numId w:val="2"/>
        </w:numPr>
        <w:spacing w:after="60" w:line="264"/>
      </w:pPr>
      <w:r>
        <w:rPr>
          <w:rFonts w:ascii="Arial" w:cs="Arial" w:eastAsia="Arial" w:hAnsi="Arial"/>
        </w:rPr>
        <w:t xml:space="preserve">Requests are received through [email / web form / other channels], logged and answered within the time set by the DPDP Rules (target 30 days or less).</w:t>
      </w:r>
    </w:p>
    <w:p>
      <w:pPr>
        <w:pStyle w:val="ListParagraph"/>
        <w:numPr>
          <w:ilvl w:val="0"/>
          <w:numId w:val="2"/>
        </w:numPr>
        <w:spacing w:after="60" w:line="264"/>
      </w:pPr>
      <w:r>
        <w:rPr>
          <w:rFonts w:ascii="Arial" w:cs="Arial" w:eastAsia="Arial" w:hAnsi="Arial"/>
        </w:rPr>
        <w:t xml:space="preserve">Identity is verified before action.</w:t>
      </w:r>
    </w:p>
    <w:p>
      <w:pPr>
        <w:pStyle w:val="ListParagraph"/>
        <w:numPr>
          <w:ilvl w:val="0"/>
          <w:numId w:val="2"/>
        </w:numPr>
        <w:spacing w:after="60" w:line="264"/>
      </w:pPr>
      <w:r>
        <w:rPr>
          <w:rFonts w:ascii="Arial" w:cs="Arial" w:eastAsia="Arial" w:hAnsi="Arial"/>
        </w:rPr>
        <w:t xml:space="preserve">Grievances not resolved can be escalated to the Data Protection Board of India.</w:t>
      </w:r>
    </w:p>
    <w:p>
      <w:pPr>
        <w:pStyle w:val="Heading1"/>
        <w:spacing w:after="120" w:before="280"/>
      </w:pPr>
      <w:r>
        <w:rPr>
          <w:rFonts w:ascii="Arial" w:cs="Arial" w:eastAsia="Arial" w:hAnsi="Arial"/>
        </w:rPr>
        <w:t xml:space="preserve">4. Processors and sharing</w:t>
      </w:r>
    </w:p>
    <w:p>
      <w:pPr>
        <w:pStyle w:val="ListParagraph"/>
        <w:numPr>
          <w:ilvl w:val="0"/>
          <w:numId w:val="2"/>
        </w:numPr>
        <w:spacing w:after="60" w:line="264"/>
      </w:pPr>
      <w:r>
        <w:rPr>
          <w:rFonts w:ascii="Arial" w:cs="Arial" w:eastAsia="Arial" w:hAnsi="Arial"/>
        </w:rPr>
        <w:t xml:space="preserve">Processors (service providers, cloud and IT vendors) process personal data only under written contract with DPDP clauses, security obligations and breach notification.</w:t>
      </w:r>
    </w:p>
    <w:p>
      <w:pPr>
        <w:pStyle w:val="ListParagraph"/>
        <w:numPr>
          <w:ilvl w:val="0"/>
          <w:numId w:val="2"/>
        </w:numPr>
        <w:spacing w:after="60" w:line="264"/>
      </w:pPr>
      <w:r>
        <w:rPr>
          <w:rFonts w:ascii="Arial" w:cs="Arial" w:eastAsia="Arial" w:hAnsi="Arial"/>
        </w:rPr>
        <w:t xml:space="preserve">Personal data is shared with regulators, exchanges, KRAs and law enforcement only as required by law.</w:t>
      </w:r>
    </w:p>
    <w:p>
      <w:pPr>
        <w:pStyle w:val="ListParagraph"/>
        <w:numPr>
          <w:ilvl w:val="0"/>
          <w:numId w:val="2"/>
        </w:numPr>
        <w:spacing w:after="60" w:line="264"/>
      </w:pPr>
      <w:r>
        <w:rPr>
          <w:rFonts w:ascii="Arial" w:cs="Arial" w:eastAsia="Arial" w:hAnsi="Arial"/>
        </w:rPr>
        <w:t xml:space="preserve">Transfer outside India only where permitted by the Government and SEBI.</w:t>
      </w:r>
    </w:p>
    <w:p>
      <w:pPr>
        <w:pStyle w:val="Heading1"/>
        <w:spacing w:after="120" w:before="280"/>
      </w:pPr>
      <w:r>
        <w:rPr>
          <w:rFonts w:ascii="Arial" w:cs="Arial" w:eastAsia="Arial" w:hAnsi="Arial"/>
        </w:rPr>
        <w:t xml:space="preserve">5. Personal data breach</w:t>
      </w:r>
    </w:p>
    <w:p>
      <w:pPr>
        <w:pStyle w:val="ListParagraph"/>
        <w:numPr>
          <w:ilvl w:val="0"/>
          <w:numId w:val="2"/>
        </w:numPr>
        <w:spacing w:after="60" w:line="264"/>
      </w:pPr>
      <w:r>
        <w:rPr>
          <w:rFonts w:ascii="Arial" w:cs="Arial" w:eastAsia="Arial" w:hAnsi="Arial"/>
        </w:rPr>
        <w:t xml:space="preserve">Every suspected breach is reported immediately to the CISO and DPO and handled under the incident process.</w:t>
      </w:r>
    </w:p>
    <w:p>
      <w:pPr>
        <w:pStyle w:val="ListParagraph"/>
        <w:numPr>
          <w:ilvl w:val="0"/>
          <w:numId w:val="2"/>
        </w:numPr>
        <w:spacing w:after="60" w:line="264"/>
      </w:pPr>
      <w:r>
        <w:rPr>
          <w:rFonts w:ascii="Arial" w:cs="Arial" w:eastAsia="Arial" w:hAnsi="Arial"/>
        </w:rPr>
        <w:t xml:space="preserve">The Data Protection Board and affected data principals are informed in the form and timelines in the DPDP Rules; SEBI and CERT-In are informed as their rules require.</w:t>
      </w:r>
    </w:p>
    <w:p>
      <w:pPr>
        <w:pStyle w:val="Heading1"/>
        <w:spacing w:after="120" w:before="280"/>
      </w:pPr>
      <w:r>
        <w:rPr>
          <w:rFonts w:ascii="Arial" w:cs="Arial" w:eastAsia="Arial" w:hAnsi="Arial"/>
        </w:rPr>
        <w:t xml:space="preserve">6. Children's data</w:t>
      </w:r>
    </w:p>
    <w:p>
      <w:pPr>
        <w:spacing w:after="120" w:line="276"/>
      </w:pPr>
      <w:r>
        <w:rPr>
          <w:rFonts w:ascii="Arial" w:cs="Arial" w:eastAsia="Arial" w:hAnsi="Arial"/>
        </w:rPr>
        <w:t xml:space="preserve">Where the investor is a minor, verifiable consent of the parent / guardian is obtained as required, and no tracking, behavioural monitoring or targeted advertising is directed at children.</w:t>
      </w:r>
    </w:p>
    <w:p>
      <w:pPr>
        <w:pStyle w:val="Heading1"/>
        <w:spacing w:after="120" w:before="280"/>
      </w:pPr>
      <w:r>
        <w:rPr>
          <w:rFonts w:ascii="Arial" w:cs="Arial" w:eastAsia="Arial" w:hAnsi="Arial"/>
        </w:rPr>
        <w:t xml:space="preserve">7.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Role</w:t>
            </w:r>
          </w:p>
        </w:tc>
        <w:tc>
          <w:tcPr>
            <w:tcW w:type="dxa" w:w="63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Responsibility</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Data Protection Officer</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Point of contact for data principals and the Board; maintains records of processing, notices and requests; trains staff.</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CISO</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Owns information security controls; monitors compliance; approves security exceptions.</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Business owners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Ensure processes follow this policy.</w:t>
            </w:r>
          </w:p>
        </w:tc>
      </w:tr>
      <w:tr>
        <w:trPr>
          <w:tblHeader w:val="false"/>
        </w:trPr>
        <w:tc>
          <w:tcPr>
            <w:tcW w:type="dxa" w:w="27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All employees and contractors</w:t>
            </w:r>
          </w:p>
        </w:tc>
        <w:tc>
          <w:tcPr>
            <w:tcW w:type="dxa" w:w="63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Follow this document; report incidents and weaknesses immediately.</w:t>
            </w:r>
          </w:p>
        </w:tc>
      </w:tr>
    </w:tbl>
    <w:p>
      <w:pPr>
        <w:spacing w:after="120" w:line="276"/>
      </w:pP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Data Protection Officer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2f</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Privacy policy; procedures for privacy notice, consent, data principal rights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Privacy and Personal Data Protection Policy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and Personal Data Protection Policy</dc:title>
  <dc:creator>Ashika Asset Management Limited</dc:creator>
  <dc:description>Draft policy</dc:description>
  <cp:lastModifiedBy>Un-named</cp:lastModifiedBy>
  <cp:revision>1</cp:revision>
  <dcterms:created xsi:type="dcterms:W3CDTF">2026-10-29T16:44:47.504Z</dcterms:created>
  <dcterms:modified xsi:type="dcterms:W3CDTF">2026-10-29T16:44:47.504Z</dcterms:modified>
</cp:coreProperties>
</file>

<file path=docProps/custom.xml><?xml version="1.0" encoding="utf-8"?>
<Properties xmlns="http://schemas.openxmlformats.org/officeDocument/2006/custom-properties" xmlns:vt="http://schemas.openxmlformats.org/officeDocument/2006/docPropsVTypes"/>
</file>