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Social Media Usage Policy</w:t>
      </w:r>
    </w:p>
    <w:p>
      <w:pPr>
        <w:spacing w:after="600"/>
      </w:pPr>
      <w:r>
        <w:rPr>
          <w:rFonts w:ascii="Arial" w:cs="Arial" w:eastAsia="Arial" w:hAnsi="Arial"/>
          <w:color w:val="475467"/>
          <w:sz w:val="24"/>
          <w:szCs w:val="24"/>
        </w:rPr>
        <w:t xml:space="preserve">Official and personal use of social media in relation to the Company</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Social Media Usage Policy</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AAML-IS-POL-08</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Marketing with the Compliance Officer and 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Official accounts</w:t>
      </w:r>
    </w:p>
    <w:p>
      <w:pPr>
        <w:spacing w:after="80"/>
      </w:pPr>
      <w:r>
        <w:rPr>
          <w:rFonts w:ascii="Arial" w:cs="Arial" w:eastAsia="Arial" w:hAnsi="Arial"/>
          <w:sz w:val="21"/>
          <w:szCs w:val="21"/>
        </w:rPr>
        <w:t xml:space="preserve">3. Personal use by employees</w:t>
      </w:r>
    </w:p>
    <w:p>
      <w:pPr>
        <w:spacing w:after="80"/>
      </w:pPr>
      <w:r>
        <w:rPr>
          <w:rFonts w:ascii="Arial" w:cs="Arial" w:eastAsia="Arial" w:hAnsi="Arial"/>
          <w:sz w:val="21"/>
          <w:szCs w:val="21"/>
        </w:rPr>
        <w:t xml:space="preserve">4. Security controls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To manage the information security, regulatory and reputational risks of social media. Applies to the Company's official accounts and to employees' personal use where it relates to the Company, its funds, investors or colleagues.</w:t>
      </w:r>
    </w:p>
    <w:p>
      <w:pPr>
        <w:pStyle w:val="Heading1"/>
        <w:spacing w:after="120" w:before="280"/>
      </w:pPr>
      <w:r>
        <w:rPr>
          <w:rFonts w:ascii="Arial" w:cs="Arial" w:eastAsia="Arial" w:hAnsi="Arial"/>
        </w:rPr>
        <w:t xml:space="preserve">2. Official accounts</w:t>
      </w:r>
    </w:p>
    <w:p>
      <w:pPr>
        <w:pStyle w:val="ListParagraph"/>
        <w:numPr>
          <w:ilvl w:val="0"/>
          <w:numId w:val="2"/>
        </w:numPr>
        <w:spacing w:after="60" w:line="264"/>
      </w:pPr>
      <w:r>
        <w:rPr>
          <w:rFonts w:ascii="Arial" w:cs="Arial" w:eastAsia="Arial" w:hAnsi="Arial"/>
        </w:rPr>
        <w:t xml:space="preserve">Only accounts approved by the Head of Marketing and Compliance may represent the Company; they are registered in the Company's name, with MFA and at least two administrators.</w:t>
      </w:r>
    </w:p>
    <w:p>
      <w:pPr>
        <w:pStyle w:val="ListParagraph"/>
        <w:numPr>
          <w:ilvl w:val="0"/>
          <w:numId w:val="2"/>
        </w:numPr>
        <w:spacing w:after="60" w:line="264"/>
      </w:pPr>
      <w:r>
        <w:rPr>
          <w:rFonts w:ascii="Arial" w:cs="Arial" w:eastAsia="Arial" w:hAnsi="Arial"/>
        </w:rPr>
        <w:t xml:space="preserve">All content is approved by Compliance before posting and follows SEBI advertisement code and AMFI guidelines for mutual fund communication, including mandatory disclaimers.</w:t>
      </w:r>
    </w:p>
    <w:p>
      <w:pPr>
        <w:pStyle w:val="ListParagraph"/>
        <w:numPr>
          <w:ilvl w:val="0"/>
          <w:numId w:val="2"/>
        </w:numPr>
        <w:spacing w:after="60" w:line="264"/>
      </w:pPr>
      <w:r>
        <w:rPr>
          <w:rFonts w:ascii="Arial" w:cs="Arial" w:eastAsia="Arial" w:hAnsi="Arial"/>
        </w:rPr>
        <w:t xml:space="preserve">Account credentials are kept in the password vault; access is removed when staff leave.</w:t>
      </w:r>
    </w:p>
    <w:p>
      <w:pPr>
        <w:pStyle w:val="ListParagraph"/>
        <w:numPr>
          <w:ilvl w:val="0"/>
          <w:numId w:val="2"/>
        </w:numPr>
        <w:spacing w:after="60" w:line="264"/>
      </w:pPr>
      <w:r>
        <w:rPr>
          <w:rFonts w:ascii="Arial" w:cs="Arial" w:eastAsia="Arial" w:hAnsi="Arial"/>
        </w:rPr>
        <w:t xml:space="preserve">Accounts are monitored for impersonation and fake pages; takedown requests are raised quickly.</w:t>
      </w:r>
    </w:p>
    <w:p>
      <w:pPr>
        <w:pStyle w:val="ListParagraph"/>
        <w:numPr>
          <w:ilvl w:val="0"/>
          <w:numId w:val="2"/>
        </w:numPr>
        <w:spacing w:after="60" w:line="264"/>
      </w:pPr>
      <w:r>
        <w:rPr>
          <w:rFonts w:ascii="Arial" w:cs="Arial" w:eastAsia="Arial" w:hAnsi="Arial"/>
        </w:rPr>
        <w:t xml:space="preserve">Investor complaints received on social media are moved to the official grievance channel.</w:t>
      </w:r>
    </w:p>
    <w:p>
      <w:pPr>
        <w:pStyle w:val="Heading1"/>
        <w:spacing w:after="120" w:before="280"/>
      </w:pPr>
      <w:r>
        <w:rPr>
          <w:rFonts w:ascii="Arial" w:cs="Arial" w:eastAsia="Arial" w:hAnsi="Arial"/>
        </w:rPr>
        <w:t xml:space="preserve">3. Personal use by employees</w:t>
      </w:r>
    </w:p>
    <w:p>
      <w:pPr>
        <w:pStyle w:val="ListParagraph"/>
        <w:numPr>
          <w:ilvl w:val="0"/>
          <w:numId w:val="2"/>
        </w:numPr>
        <w:spacing w:after="60" w:line="264"/>
      </w:pPr>
      <w:r>
        <w:rPr>
          <w:rFonts w:ascii="Arial" w:cs="Arial" w:eastAsia="Arial" w:hAnsi="Arial"/>
        </w:rPr>
        <w:t xml:space="preserve">Do not disclose confidential, price-sensitive or investor information, or portfolio holdings before public disclosure.</w:t>
      </w:r>
    </w:p>
    <w:p>
      <w:pPr>
        <w:pStyle w:val="ListParagraph"/>
        <w:numPr>
          <w:ilvl w:val="0"/>
          <w:numId w:val="2"/>
        </w:numPr>
        <w:spacing w:after="60" w:line="264"/>
      </w:pPr>
      <w:r>
        <w:rPr>
          <w:rFonts w:ascii="Arial" w:cs="Arial" w:eastAsia="Arial" w:hAnsi="Arial"/>
        </w:rPr>
        <w:t xml:space="preserve">Do not give investment advice or comment on schemes on behalf of the Company; personal views must be clearly personal.</w:t>
      </w:r>
    </w:p>
    <w:p>
      <w:pPr>
        <w:pStyle w:val="ListParagraph"/>
        <w:numPr>
          <w:ilvl w:val="0"/>
          <w:numId w:val="2"/>
        </w:numPr>
        <w:spacing w:after="60" w:line="264"/>
      </w:pPr>
      <w:r>
        <w:rPr>
          <w:rFonts w:ascii="Arial" w:cs="Arial" w:eastAsia="Arial" w:hAnsi="Arial"/>
        </w:rPr>
        <w:t xml:space="preserve">Do not post content that is discriminatory, harassing or harms the Company's reputation.</w:t>
      </w:r>
    </w:p>
    <w:p>
      <w:pPr>
        <w:pStyle w:val="ListParagraph"/>
        <w:numPr>
          <w:ilvl w:val="0"/>
          <w:numId w:val="2"/>
        </w:numPr>
        <w:spacing w:after="60" w:line="264"/>
      </w:pPr>
      <w:r>
        <w:rPr>
          <w:rFonts w:ascii="Arial" w:cs="Arial" w:eastAsia="Arial" w:hAnsi="Arial"/>
        </w:rPr>
        <w:t xml:space="preserve">Be alert to social engineering — attackers use social media to target staff; do not accept unknown requests claiming to be colleagues or vendors.</w:t>
      </w:r>
    </w:p>
    <w:p>
      <w:pPr>
        <w:pStyle w:val="ListParagraph"/>
        <w:numPr>
          <w:ilvl w:val="0"/>
          <w:numId w:val="2"/>
        </w:numPr>
        <w:spacing w:after="60" w:line="264"/>
      </w:pPr>
      <w:r>
        <w:rPr>
          <w:rFonts w:ascii="Arial" w:cs="Arial" w:eastAsia="Arial" w:hAnsi="Arial"/>
        </w:rPr>
        <w:t xml:space="preserve">Report impersonation of the Company or its staff to the CISO and Marketing.</w:t>
      </w:r>
    </w:p>
    <w:p>
      <w:pPr>
        <w:pStyle w:val="Heading1"/>
        <w:spacing w:after="120" w:before="280"/>
      </w:pPr>
      <w:r>
        <w:rPr>
          <w:rFonts w:ascii="Arial" w:cs="Arial" w:eastAsia="Arial" w:hAnsi="Arial"/>
        </w:rPr>
        <w:t xml:space="preserve">4. Security controls</w:t>
      </w:r>
    </w:p>
    <w:p>
      <w:pPr>
        <w:pStyle w:val="ListParagraph"/>
        <w:numPr>
          <w:ilvl w:val="0"/>
          <w:numId w:val="2"/>
        </w:numPr>
        <w:spacing w:after="60" w:line="264"/>
      </w:pPr>
      <w:r>
        <w:rPr>
          <w:rFonts w:ascii="Arial" w:cs="Arial" w:eastAsia="Arial" w:hAnsi="Arial"/>
        </w:rPr>
        <w:t xml:space="preserve">Use of social media on Company devices is allowed only as permitted by IT policy; posting through unapproved third-party tools is not allowed.</w:t>
      </w:r>
    </w:p>
    <w:p>
      <w:pPr>
        <w:pStyle w:val="ListParagraph"/>
        <w:numPr>
          <w:ilvl w:val="0"/>
          <w:numId w:val="2"/>
        </w:numPr>
        <w:spacing w:after="60" w:line="264"/>
      </w:pPr>
      <w:r>
        <w:rPr>
          <w:rFonts w:ascii="Arial" w:cs="Arial" w:eastAsia="Arial" w:hAnsi="Arial"/>
        </w:rPr>
        <w:t xml:space="preserve">Official account activity logs are reviewed every quarter.</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Compliance Officer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2h</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social media usage policy addressing information security and reputational risks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Social Media Usage Policy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Usage Policy</dc:title>
  <dc:creator>Ashika Asset Management Limited</dc:creator>
  <dc:description>Draft policy</dc:description>
  <cp:lastModifiedBy>Un-named</cp:lastModifiedBy>
  <cp:revision>1</cp:revision>
  <dcterms:created xsi:type="dcterms:W3CDTF">2026-10-29T16:44:47.530Z</dcterms:created>
  <dcterms:modified xsi:type="dcterms:W3CDTF">2026-10-29T16:44:47.530Z</dcterms:modified>
</cp:coreProperties>
</file>

<file path=docProps/custom.xml><?xml version="1.0" encoding="utf-8"?>
<Properties xmlns="http://schemas.openxmlformats.org/officeDocument/2006/custom-properties" xmlns:vt="http://schemas.openxmlformats.org/officeDocument/2006/docPropsVTypes"/>
</file>