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Vendor Management and Outsourcing Framework</w:t>
      </w:r>
    </w:p>
    <w:p>
      <w:pPr>
        <w:spacing w:after="600"/>
      </w:pPr>
      <w:r>
        <w:rPr>
          <w:rFonts w:ascii="Arial" w:cs="Arial" w:eastAsia="Arial" w:hAnsi="Arial"/>
          <w:color w:val="475467"/>
          <w:sz w:val="24"/>
          <w:szCs w:val="24"/>
        </w:rPr>
        <w:t xml:space="preserve">Selection, contracting, monitoring and exit of service providers, including outsourcing of activities</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Vendor Management and Outsourcing Framework</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AAML-IS-POL-09</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Operating Officer with the CISO</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w:t>
      </w:r>
    </w:p>
    <w:p>
      <w:pPr>
        <w:spacing w:after="80"/>
      </w:pPr>
      <w:r>
        <w:rPr>
          <w:rFonts w:ascii="Arial" w:cs="Arial" w:eastAsia="Arial" w:hAnsi="Arial"/>
          <w:sz w:val="21"/>
          <w:szCs w:val="21"/>
        </w:rPr>
        <w:t xml:space="preserve">2. Scope</w:t>
      </w:r>
    </w:p>
    <w:p>
      <w:pPr>
        <w:spacing w:after="80"/>
      </w:pPr>
      <w:r>
        <w:rPr>
          <w:rFonts w:ascii="Arial" w:cs="Arial" w:eastAsia="Arial" w:hAnsi="Arial"/>
          <w:sz w:val="21"/>
          <w:szCs w:val="21"/>
        </w:rPr>
        <w:t xml:space="preserve">3. Classification</w:t>
      </w:r>
    </w:p>
    <w:p>
      <w:pPr>
        <w:spacing w:after="80"/>
      </w:pPr>
      <w:r>
        <w:rPr>
          <w:rFonts w:ascii="Arial" w:cs="Arial" w:eastAsia="Arial" w:hAnsi="Arial"/>
          <w:sz w:val="21"/>
          <w:szCs w:val="21"/>
        </w:rPr>
        <w:t xml:space="preserve">4. Due diligence and selection</w:t>
      </w:r>
    </w:p>
    <w:p>
      <w:pPr>
        <w:spacing w:after="80"/>
      </w:pPr>
      <w:r>
        <w:rPr>
          <w:rFonts w:ascii="Arial" w:cs="Arial" w:eastAsia="Arial" w:hAnsi="Arial"/>
          <w:sz w:val="21"/>
          <w:szCs w:val="21"/>
        </w:rPr>
        <w:t xml:space="preserve">5. Contracting</w:t>
      </w:r>
    </w:p>
    <w:p>
      <w:pPr>
        <w:spacing w:after="80"/>
      </w:pPr>
      <w:r>
        <w:rPr>
          <w:rFonts w:ascii="Arial" w:cs="Arial" w:eastAsia="Arial" w:hAnsi="Arial"/>
          <w:sz w:val="21"/>
          <w:szCs w:val="21"/>
        </w:rPr>
        <w:t xml:space="preserve">6. Onboarding</w:t>
      </w:r>
    </w:p>
    <w:p>
      <w:pPr>
        <w:spacing w:after="80"/>
      </w:pPr>
      <w:r>
        <w:rPr>
          <w:rFonts w:ascii="Arial" w:cs="Arial" w:eastAsia="Arial" w:hAnsi="Arial"/>
          <w:sz w:val="21"/>
          <w:szCs w:val="21"/>
        </w:rPr>
        <w:t xml:space="preserve">7. Monitoring</w:t>
      </w:r>
    </w:p>
    <w:p>
      <w:pPr>
        <w:spacing w:after="80"/>
      </w:pPr>
      <w:r>
        <w:rPr>
          <w:rFonts w:ascii="Arial" w:cs="Arial" w:eastAsia="Arial" w:hAnsi="Arial"/>
          <w:sz w:val="21"/>
          <w:szCs w:val="21"/>
        </w:rPr>
        <w:t xml:space="preserve">8. Exit</w:t>
      </w:r>
    </w:p>
    <w:p>
      <w:pPr>
        <w:spacing w:after="80"/>
      </w:pPr>
      <w:r>
        <w:rPr>
          <w:rFonts w:ascii="Arial" w:cs="Arial" w:eastAsia="Arial" w:hAnsi="Arial"/>
          <w:sz w:val="21"/>
          <w:szCs w:val="21"/>
        </w:rPr>
        <w:t xml:space="preserve">References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w:t>
      </w:r>
    </w:p>
    <w:p>
      <w:pPr>
        <w:spacing w:after="120" w:line="276"/>
      </w:pPr>
      <w:r>
        <w:rPr>
          <w:rFonts w:ascii="Arial" w:cs="Arial" w:eastAsia="Arial" w:hAnsi="Arial"/>
        </w:rPr>
        <w:t xml:space="preserve">To make sure services provided by third parties — especially those supporting critical mutual fund activities — are selected carefully, contracted with the right protections, monitored and can be exited safely, in line with SEBI guidance on outsourcing and CSCRF.</w:t>
      </w:r>
    </w:p>
    <w:p>
      <w:pPr>
        <w:pStyle w:val="Heading1"/>
        <w:spacing w:after="120" w:before="280"/>
      </w:pPr>
      <w:r>
        <w:rPr>
          <w:rFonts w:ascii="Arial" w:cs="Arial" w:eastAsia="Arial" w:hAnsi="Arial"/>
        </w:rPr>
        <w:t xml:space="preserve">2. Scope</w:t>
      </w:r>
    </w:p>
    <w:p>
      <w:pPr>
        <w:spacing w:after="120" w:line="276"/>
      </w:pPr>
      <w:r>
        <w:rPr>
          <w:rFonts w:ascii="Arial" w:cs="Arial" w:eastAsia="Arial" w:hAnsi="Arial"/>
        </w:rPr>
        <w:t xml:space="preserve">All third parties providing services, technology or staff to the Company. Current providers and their criticality are recorded in the vendor register, which does not form part of this framework.</w:t>
      </w:r>
    </w:p>
    <w:p>
      <w:pPr>
        <w:pBdr>
          <w:left w:val="single" w:color="F59E0B" w:sz="12" w:space="6"/>
        </w:pBdr>
        <w:shd w:fill="FFF8E1" w:color="auto" w:val="clear"/>
        <w:spacing w:after="120"/>
      </w:pPr>
      <w:r>
        <w:rPr>
          <w:rFonts w:ascii="Arial" w:cs="Arial" w:eastAsia="Arial" w:hAnsi="Arial"/>
          <w:i/>
          <w:iCs/>
          <w:sz w:val="19"/>
          <w:szCs w:val="19"/>
        </w:rPr>
        <w:t xml:space="preserve">Where one provider delivers more than one critical service, the concentration risk and the segregation between the services must be assessed and documented.</w:t>
      </w:r>
    </w:p>
    <w:p>
      <w:pPr>
        <w:pStyle w:val="Heading1"/>
        <w:spacing w:after="120" w:before="280"/>
      </w:pPr>
      <w:r>
        <w:rPr>
          <w:rFonts w:ascii="Arial" w:cs="Arial" w:eastAsia="Arial" w:hAnsi="Arial"/>
        </w:rPr>
        <w:t xml:space="preserve">3. Classification</w:t>
      </w:r>
    </w:p>
    <w:p>
      <w:pPr>
        <w:spacing w:after="120" w:line="276"/>
      </w:pPr>
      <w:r>
        <w:rPr>
          <w:rFonts w:ascii="Arial" w:cs="Arial" w:eastAsia="Arial" w:hAnsi="Arial"/>
        </w:rPr>
        <w:t xml:space="preserve">Vendors are rated </w:t>
      </w:r>
      <w:r>
        <w:rPr>
          <w:rFonts w:ascii="Arial" w:cs="Arial" w:eastAsia="Arial" w:hAnsi="Arial"/>
          <w:b/>
          <w:bCs/>
        </w:rPr>
        <w:t xml:space="preserve">critical</w:t>
      </w:r>
      <w:r>
        <w:rPr>
          <w:rFonts w:ascii="Arial" w:cs="Arial" w:eastAsia="Arial" w:hAnsi="Arial"/>
        </w:rPr>
        <w:t xml:space="preserve">, </w:t>
      </w:r>
      <w:r>
        <w:rPr>
          <w:rFonts w:ascii="Arial" w:cs="Arial" w:eastAsia="Arial" w:hAnsi="Arial"/>
          <w:b/>
          <w:bCs/>
        </w:rPr>
        <w:t xml:space="preserve">high</w:t>
      </w:r>
      <w:r>
        <w:rPr>
          <w:rFonts w:ascii="Arial" w:cs="Arial" w:eastAsia="Arial" w:hAnsi="Arial"/>
        </w:rPr>
        <w:t xml:space="preserve">, </w:t>
      </w:r>
      <w:r>
        <w:rPr>
          <w:rFonts w:ascii="Arial" w:cs="Arial" w:eastAsia="Arial" w:hAnsi="Arial"/>
          <w:b/>
          <w:bCs/>
        </w:rPr>
        <w:t xml:space="preserve">medium</w:t>
      </w:r>
      <w:r>
        <w:rPr>
          <w:rFonts w:ascii="Arial" w:cs="Arial" w:eastAsia="Arial" w:hAnsi="Arial"/>
        </w:rPr>
        <w:t xml:space="preserve"> or </w:t>
      </w:r>
      <w:r>
        <w:rPr>
          <w:rFonts w:ascii="Arial" w:cs="Arial" w:eastAsia="Arial" w:hAnsi="Arial"/>
          <w:b/>
          <w:bCs/>
        </w:rPr>
        <w:t xml:space="preserve">low</w:t>
      </w:r>
      <w:r>
        <w:rPr>
          <w:rFonts w:ascii="Arial" w:cs="Arial" w:eastAsia="Arial" w:hAnsi="Arial"/>
        </w:rPr>
        <w:t xml:space="preserve"> based on the activity (core MF activity, investor data, system access), impact of failure, data handled and substitutability. Core activities that SEBI does not permit to be outsourced are not outsourced.</w:t>
      </w:r>
    </w:p>
    <w:p>
      <w:pPr>
        <w:pStyle w:val="Heading1"/>
        <w:spacing w:after="120" w:before="280"/>
      </w:pPr>
      <w:r>
        <w:rPr>
          <w:rFonts w:ascii="Arial" w:cs="Arial" w:eastAsia="Arial" w:hAnsi="Arial"/>
        </w:rPr>
        <w:t xml:space="preserve">4. Due diligence and selection</w:t>
      </w:r>
    </w:p>
    <w:p>
      <w:pPr>
        <w:pStyle w:val="ListParagraph"/>
        <w:numPr>
          <w:ilvl w:val="0"/>
          <w:numId w:val="2"/>
        </w:numPr>
        <w:spacing w:after="60" w:line="264"/>
      </w:pPr>
      <w:r>
        <w:rPr>
          <w:rFonts w:ascii="Arial" w:cs="Arial" w:eastAsia="Arial" w:hAnsi="Arial"/>
        </w:rPr>
        <w:t xml:space="preserve">Business need and options documented; at least three quotes for non-critical purchases where practical.</w:t>
      </w:r>
    </w:p>
    <w:p>
      <w:pPr>
        <w:pStyle w:val="ListParagraph"/>
        <w:numPr>
          <w:ilvl w:val="0"/>
          <w:numId w:val="2"/>
        </w:numPr>
        <w:spacing w:after="60" w:line="264"/>
      </w:pPr>
      <w:r>
        <w:rPr>
          <w:rFonts w:ascii="Arial" w:cs="Arial" w:eastAsia="Arial" w:hAnsi="Arial"/>
        </w:rPr>
        <w:t xml:space="preserve">Due diligence: financial strength, ownership, regulatory status and licences, reputation and litigation, capability and references, security (Third-Party Security Procedure), data protection, BCP, sub-contracting, conflicts of interest, and location of data.</w:t>
      </w:r>
    </w:p>
    <w:p>
      <w:pPr>
        <w:pStyle w:val="ListParagraph"/>
        <w:numPr>
          <w:ilvl w:val="0"/>
          <w:numId w:val="2"/>
        </w:numPr>
        <w:spacing w:after="60" w:line="264"/>
      </w:pPr>
      <w:r>
        <w:rPr>
          <w:rFonts w:ascii="Arial" w:cs="Arial" w:eastAsia="Arial" w:hAnsi="Arial"/>
        </w:rPr>
        <w:t xml:space="preserve">Approval as per the delegation of authority; outsourcing of critical activities approved by the Board or IT Strategy Committee.</w:t>
      </w:r>
    </w:p>
    <w:p>
      <w:pPr>
        <w:pStyle w:val="Heading1"/>
        <w:spacing w:after="120" w:before="280"/>
      </w:pPr>
      <w:r>
        <w:rPr>
          <w:rFonts w:ascii="Arial" w:cs="Arial" w:eastAsia="Arial" w:hAnsi="Arial"/>
        </w:rPr>
        <w:t xml:space="preserve">5. Contracting</w:t>
      </w:r>
    </w:p>
    <w:p>
      <w:pPr>
        <w:spacing w:after="120" w:line="276"/>
      </w:pPr>
      <w:r>
        <w:rPr>
          <w:rFonts w:ascii="Arial" w:cs="Arial" w:eastAsia="Arial" w:hAnsi="Arial"/>
        </w:rPr>
        <w:t xml:space="preserve">Every engagement is under a written agreement reviewed by Legal and Compliance, covering at least: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Clause</w:t>
            </w:r>
          </w:p>
        </w:tc>
        <w:tc>
          <w:tcPr>
            <w:tcW w:type="dxa" w:w="60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Content</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 Services provided</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Scope, deliverables, locations, sub-contracting only with consent</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 Processes to be followed</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Operating procedures, interfaces, controls, reporting</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 Service levels and penalties</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Measurable SLAs (availability, accuracy, timeliness, response), service credits / penalties</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 Confidentiality, continuity and privacy</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NDA, data protection (DPDP), BCP / DR with RTO-RPO, data in India</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 Performance monitoring and reports</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Monthly / quarterly MIS, incident reports, annual assurance reports</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 Escalation</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Named contacts and escalation matrix, dispute resolution</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g. Right to access and audit</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For the Company, its auditors and SEBI, including records and premises</w:t>
            </w:r>
          </w:p>
        </w:tc>
      </w:tr>
      <w:tr>
        <w:trPr>
          <w:tblHeader w:val="false"/>
        </w:trPr>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Other</w:t>
            </w:r>
          </w:p>
        </w:tc>
        <w:tc>
          <w:tcPr>
            <w:tcW w:type="dxa" w:w="60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Termination and exit assistance, return / destruction of data, liability and insurance, compliance with law</w:t>
            </w:r>
          </w:p>
        </w:tc>
      </w:tr>
    </w:tbl>
    <w:p>
      <w:pPr>
        <w:spacing w:after="120" w:line="276"/>
      </w:pPr>
    </w:p>
    <w:p>
      <w:pPr>
        <w:pBdr>
          <w:left w:val="single" w:color="F59E0B" w:sz="12" w:space="6"/>
        </w:pBdr>
        <w:shd w:fill="FFF8E1" w:color="auto" w:val="clear"/>
        <w:spacing w:after="120"/>
      </w:pPr>
      <w:r>
        <w:rPr>
          <w:rFonts w:ascii="Arial" w:cs="Arial" w:eastAsia="Arial" w:hAnsi="Arial"/>
          <w:i/>
          <w:iCs/>
          <w:sz w:val="19"/>
          <w:szCs w:val="19"/>
        </w:rPr>
        <w:t xml:space="preserve">These clauses a–g match the auditor's 'Vendor Agreements' schedule; record the agreement date and clause references there for each critical vendor.</w:t>
      </w:r>
    </w:p>
    <w:p>
      <w:pPr>
        <w:pStyle w:val="Heading1"/>
        <w:spacing w:after="120" w:before="280"/>
      </w:pPr>
      <w:r>
        <w:rPr>
          <w:rFonts w:ascii="Arial" w:cs="Arial" w:eastAsia="Arial" w:hAnsi="Arial"/>
        </w:rPr>
        <w:t xml:space="preserve">6. Onboarding</w:t>
      </w:r>
    </w:p>
    <w:p>
      <w:pPr>
        <w:pStyle w:val="ListParagraph"/>
        <w:numPr>
          <w:ilvl w:val="0"/>
          <w:numId w:val="2"/>
        </w:numPr>
        <w:spacing w:after="60" w:line="264"/>
      </w:pPr>
      <w:r>
        <w:rPr>
          <w:rFonts w:ascii="Arial" w:cs="Arial" w:eastAsia="Arial" w:hAnsi="Arial"/>
        </w:rPr>
        <w:t xml:space="preserve">Vendor master record created (contacts, services, contract dates, criticality, data shared, access granted).</w:t>
      </w:r>
    </w:p>
    <w:p>
      <w:pPr>
        <w:pStyle w:val="ListParagraph"/>
        <w:numPr>
          <w:ilvl w:val="0"/>
          <w:numId w:val="2"/>
        </w:numPr>
        <w:spacing w:after="60" w:line="264"/>
      </w:pPr>
      <w:r>
        <w:rPr>
          <w:rFonts w:ascii="Arial" w:cs="Arial" w:eastAsia="Arial" w:hAnsi="Arial"/>
        </w:rPr>
        <w:t xml:space="preserve">Access provisioned as per the Third-Party Security Procedure.</w:t>
      </w:r>
    </w:p>
    <w:p>
      <w:pPr>
        <w:pStyle w:val="ListParagraph"/>
        <w:numPr>
          <w:ilvl w:val="0"/>
          <w:numId w:val="2"/>
        </w:numPr>
        <w:spacing w:after="60" w:line="264"/>
      </w:pPr>
      <w:r>
        <w:rPr>
          <w:rFonts w:ascii="Arial" w:cs="Arial" w:eastAsia="Arial" w:hAnsi="Arial"/>
        </w:rPr>
        <w:t xml:space="preserve">Interfaces and file transfers tested and documented.</w:t>
      </w:r>
    </w:p>
    <w:p>
      <w:pPr>
        <w:pStyle w:val="Heading1"/>
        <w:spacing w:after="120" w:before="280"/>
      </w:pPr>
      <w:r>
        <w:rPr>
          <w:rFonts w:ascii="Arial" w:cs="Arial" w:eastAsia="Arial" w:hAnsi="Arial"/>
        </w:rPr>
        <w:t xml:space="preserve">7. Monitoring</w:t>
      </w:r>
    </w:p>
    <w:p>
      <w:pPr>
        <w:pStyle w:val="ListParagraph"/>
        <w:numPr>
          <w:ilvl w:val="0"/>
          <w:numId w:val="2"/>
        </w:numPr>
        <w:spacing w:after="60" w:line="264"/>
      </w:pPr>
      <w:r>
        <w:rPr>
          <w:rFonts w:ascii="Arial" w:cs="Arial" w:eastAsia="Arial" w:hAnsi="Arial"/>
        </w:rPr>
        <w:t xml:space="preserve">Monthly SLA review for critical vendors; quarterly service review meetings with minutes.</w:t>
      </w:r>
    </w:p>
    <w:p>
      <w:pPr>
        <w:pStyle w:val="ListParagraph"/>
        <w:numPr>
          <w:ilvl w:val="0"/>
          <w:numId w:val="2"/>
        </w:numPr>
        <w:spacing w:after="60" w:line="264"/>
      </w:pPr>
      <w:r>
        <w:rPr>
          <w:rFonts w:ascii="Arial" w:cs="Arial" w:eastAsia="Arial" w:hAnsi="Arial"/>
        </w:rPr>
        <w:t xml:space="preserve">Annual performance and risk review for critical and high vendors, including assurance reports (SOC / ISO / SEBI system audit), BCP drill participation, incidents and open findings.</w:t>
      </w:r>
    </w:p>
    <w:p>
      <w:pPr>
        <w:pStyle w:val="ListParagraph"/>
        <w:numPr>
          <w:ilvl w:val="0"/>
          <w:numId w:val="2"/>
        </w:numPr>
        <w:spacing w:after="60" w:line="264"/>
      </w:pPr>
      <w:r>
        <w:rPr>
          <w:rFonts w:ascii="Arial" w:cs="Arial" w:eastAsia="Arial" w:hAnsi="Arial"/>
        </w:rPr>
        <w:t xml:space="preserve">Results reported to the Technology Committee every quarter and the IT Strategy Committee twice a year.</w:t>
      </w:r>
    </w:p>
    <w:p>
      <w:pPr>
        <w:pStyle w:val="Heading1"/>
        <w:spacing w:after="120" w:before="280"/>
      </w:pPr>
      <w:r>
        <w:rPr>
          <w:rFonts w:ascii="Arial" w:cs="Arial" w:eastAsia="Arial" w:hAnsi="Arial"/>
        </w:rPr>
        <w:t xml:space="preserve">8. Exit</w:t>
      </w:r>
    </w:p>
    <w:p>
      <w:pPr>
        <w:pStyle w:val="ListParagraph"/>
        <w:numPr>
          <w:ilvl w:val="0"/>
          <w:numId w:val="2"/>
        </w:numPr>
        <w:spacing w:after="60" w:line="264"/>
      </w:pPr>
      <w:r>
        <w:rPr>
          <w:rFonts w:ascii="Arial" w:cs="Arial" w:eastAsia="Arial" w:hAnsi="Arial"/>
        </w:rPr>
        <w:t xml:space="preserve">An exit plan exists for each critical vendor (alternate provider, data migration, timelines).</w:t>
      </w:r>
    </w:p>
    <w:p>
      <w:pPr>
        <w:pStyle w:val="ListParagraph"/>
        <w:numPr>
          <w:ilvl w:val="0"/>
          <w:numId w:val="2"/>
        </w:numPr>
        <w:spacing w:after="60" w:line="264"/>
      </w:pPr>
      <w:r>
        <w:rPr>
          <w:rFonts w:ascii="Arial" w:cs="Arial" w:eastAsia="Arial" w:hAnsi="Arial"/>
        </w:rPr>
        <w:t xml:space="preserve">On exit: data returned / destroyed with certificate, access removed, knowledge transferred, final review recorded.</w:t>
      </w:r>
    </w:p>
    <w:p>
      <w:pPr>
        <w:pStyle w:val="Heading1"/>
        <w:spacing w:after="120" w:before="280"/>
      </w:pPr>
      <w:r>
        <w:rPr>
          <w:rFonts w:ascii="Arial" w:cs="Arial" w:eastAsia="Arial" w:hAnsi="Arial"/>
        </w:rPr>
        <w:t xml:space="preserve">References</w:t>
      </w:r>
    </w:p>
    <w:p>
      <w:pPr>
        <w:pStyle w:val="ListParagraph"/>
        <w:numPr>
          <w:ilvl w:val="0"/>
          <w:numId w:val="2"/>
        </w:numPr>
        <w:spacing w:after="60" w:line="264"/>
      </w:pPr>
      <w:r>
        <w:rPr>
          <w:rFonts w:ascii="Arial" w:cs="Arial" w:eastAsia="Arial" w:hAnsi="Arial"/>
        </w:rPr>
        <w:t xml:space="preserve">SEBI (Mutual Funds) Regulations, 1996 and the SEBI Master Circular for Mutual Funds, as amended from time to time, including the provisions on system audit, IT governance and technology committees</w:t>
      </w:r>
    </w:p>
    <w:p>
      <w:pPr>
        <w:pStyle w:val="ListParagraph"/>
        <w:numPr>
          <w:ilvl w:val="0"/>
          <w:numId w:val="2"/>
        </w:numPr>
        <w:spacing w:after="60" w:line="264"/>
      </w:pPr>
      <w:r>
        <w:rPr>
          <w:rFonts w:ascii="Arial" w:cs="Arial" w:eastAsia="Arial" w:hAnsi="Arial"/>
        </w:rPr>
        <w:t xml:space="preserve">SEBI Cybersecurity and Cyber Resilience Framework (CSCRF) for SEBI Regulated Entities, circular dated 20 August 2024, with its clarifications and amendments</w:t>
      </w:r>
    </w:p>
    <w:p>
      <w:pPr>
        <w:pStyle w:val="ListParagraph"/>
        <w:numPr>
          <w:ilvl w:val="0"/>
          <w:numId w:val="2"/>
        </w:numPr>
        <w:spacing w:after="60" w:line="264"/>
      </w:pPr>
      <w:r>
        <w:rPr>
          <w:rFonts w:ascii="Arial" w:cs="Arial" w:eastAsia="Arial" w:hAnsi="Arial"/>
        </w:rPr>
        <w:t xml:space="preserve">Information Technology Act, 2000 and the CERT-In Directions of 28 April 2022 (including 6-hour incident reporting and 180-day log retention)</w:t>
      </w:r>
    </w:p>
    <w:p>
      <w:pPr>
        <w:pStyle w:val="ListParagraph"/>
        <w:numPr>
          <w:ilvl w:val="0"/>
          <w:numId w:val="2"/>
        </w:numPr>
        <w:spacing w:after="60" w:line="264"/>
      </w:pPr>
      <w:r>
        <w:rPr>
          <w:rFonts w:ascii="Arial" w:cs="Arial" w:eastAsia="Arial" w:hAnsi="Arial"/>
        </w:rPr>
        <w:t xml:space="preserve">Digital Personal Data Protection Act, 2023 and the Digital Personal Data Protection Rules, 2025</w:t>
      </w:r>
    </w:p>
    <w:p>
      <w:pPr>
        <w:pStyle w:val="ListParagraph"/>
        <w:numPr>
          <w:ilvl w:val="0"/>
          <w:numId w:val="2"/>
        </w:numPr>
        <w:spacing w:after="60" w:line="264"/>
      </w:pPr>
      <w:r>
        <w:rPr>
          <w:rFonts w:ascii="Arial" w:cs="Arial" w:eastAsia="Arial" w:hAnsi="Arial"/>
        </w:rPr>
        <w:t xml:space="preserve">ISO/IEC 27001:2022 and ISO 22301:2019 (used as good-practice references, not for certification unless decided by the Board)</w:t>
      </w:r>
    </w:p>
    <w:p>
      <w:pPr>
        <w:pStyle w:val="ListParagraph"/>
        <w:numPr>
          <w:ilvl w:val="0"/>
          <w:numId w:val="2"/>
        </w:numPr>
        <w:spacing w:after="60" w:line="264"/>
      </w:pPr>
      <w:r>
        <w:rPr>
          <w:rFonts w:ascii="Arial" w:cs="Arial" w:eastAsia="Arial" w:hAnsi="Arial"/>
        </w:rPr>
        <w:t xml:space="preserve">SEBI guidelines on outsourcing of activities by intermediaries, as applicable to mutual funds / AMCs</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Chief Operating Officer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2i</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Vendor management framework approved by the Board, covering due diligence, selection, risk assessment, onboarding, contracting and monitoring</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3–8</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Vendor Management and Outsourcing Framework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Management and Outsourcing Framework</dc:title>
  <dc:creator>Ashika Asset Management Limited</dc:creator>
  <dc:description>Draft policy</dc:description>
  <cp:lastModifiedBy>Un-named</cp:lastModifiedBy>
  <cp:revision>1</cp:revision>
  <dcterms:created xsi:type="dcterms:W3CDTF">2026-10-29T16:44:47.556Z</dcterms:created>
  <dcterms:modified xsi:type="dcterms:W3CDTF">2026-10-29T16:44:47.556Z</dcterms:modified>
</cp:coreProperties>
</file>

<file path=docProps/custom.xml><?xml version="1.0" encoding="utf-8"?>
<Properties xmlns="http://schemas.openxmlformats.org/officeDocument/2006/custom-properties" xmlns:vt="http://schemas.openxmlformats.org/officeDocument/2006/docPropsVTypes"/>
</file>