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Information Technology Policy</w:t>
      </w:r>
    </w:p>
    <w:p>
      <w:pPr>
        <w:spacing w:after="600"/>
      </w:pPr>
      <w:r>
        <w:rPr>
          <w:rFonts w:ascii="Arial" w:cs="Arial" w:eastAsia="Arial" w:hAnsi="Arial"/>
          <w:color w:val="475467"/>
          <w:sz w:val="24"/>
          <w:szCs w:val="24"/>
        </w:rPr>
        <w:t xml:space="preserve">IT governance and the operating policies for IT assets, access, change, backup, batch jobs, incidents, problems, data centre, platforms, network and end-user computing</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Technology Policy</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AAML-IT-POL-01</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Head of IT</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Board of Directors, on recommendation of the IT Strategy Committee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w:t>
      </w:r>
    </w:p>
    <w:p>
      <w:pPr>
        <w:spacing w:after="80"/>
      </w:pPr>
      <w:r>
        <w:rPr>
          <w:rFonts w:ascii="Arial" w:cs="Arial" w:eastAsia="Arial" w:hAnsi="Arial"/>
          <w:sz w:val="21"/>
          <w:szCs w:val="21"/>
        </w:rPr>
        <w:t xml:space="preserve">2. Scope</w:t>
      </w:r>
    </w:p>
    <w:p>
      <w:pPr>
        <w:spacing w:after="80"/>
      </w:pPr>
      <w:r>
        <w:rPr>
          <w:rFonts w:ascii="Arial" w:cs="Arial" w:eastAsia="Arial" w:hAnsi="Arial"/>
          <w:sz w:val="21"/>
          <w:szCs w:val="21"/>
        </w:rPr>
        <w:t xml:space="preserve">3. IT governance</w:t>
      </w:r>
    </w:p>
    <w:p>
      <w:pPr>
        <w:spacing w:after="80"/>
      </w:pPr>
      <w:r>
        <w:rPr>
          <w:rFonts w:ascii="Arial" w:cs="Arial" w:eastAsia="Arial" w:hAnsi="Arial"/>
          <w:sz w:val="21"/>
          <w:szCs w:val="21"/>
        </w:rPr>
        <w:t xml:space="preserve">4. General principles</w:t>
      </w:r>
    </w:p>
    <w:p>
      <w:pPr>
        <w:spacing w:after="80"/>
      </w:pPr>
      <w:r>
        <w:rPr>
          <w:rFonts w:ascii="Arial" w:cs="Arial" w:eastAsia="Arial" w:hAnsi="Arial"/>
          <w:sz w:val="21"/>
          <w:szCs w:val="21"/>
        </w:rPr>
        <w:t xml:space="preserve">5. Operating policies</w:t>
      </w:r>
    </w:p>
    <w:p>
      <w:pPr>
        <w:spacing w:after="80"/>
      </w:pPr>
      <w:r>
        <w:rPr>
          <w:rFonts w:ascii="Arial" w:cs="Arial" w:eastAsia="Arial" w:hAnsi="Arial"/>
          <w:sz w:val="21"/>
          <w:szCs w:val="21"/>
        </w:rPr>
        <w:t xml:space="preserve">References</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w:t>
      </w:r>
    </w:p>
    <w:p>
      <w:pPr>
        <w:spacing w:after="120" w:line="276"/>
      </w:pPr>
      <w:r>
        <w:rPr>
          <w:rFonts w:ascii="Arial" w:cs="Arial" w:eastAsia="Arial" w:hAnsi="Arial"/>
        </w:rPr>
        <w:t xml:space="preserve">This policy sets out how the Company governs, acquires, operates and protects its information technology so that mutual fund operations are reliable, secure, compliant with SEBI requirements and able to recover from disruption.</w:t>
      </w:r>
    </w:p>
    <w:p>
      <w:pPr>
        <w:spacing w:after="120" w:line="276"/>
      </w:pPr>
      <w:r>
        <w:rPr>
          <w:rFonts w:ascii="Arial" w:cs="Arial" w:eastAsia="Arial" w:hAnsi="Arial"/>
        </w:rPr>
        <w:t xml:space="preserve">It is the parent document for IT operations. Information security requirements are set out in the Information Security Policy and Framework (AAML-IS-POL-01); where the two overlap, the stricter requirement applies.</w:t>
      </w:r>
    </w:p>
    <w:p>
      <w:pPr>
        <w:pStyle w:val="Heading1"/>
        <w:spacing w:after="120" w:before="280"/>
      </w:pPr>
      <w:r>
        <w:rPr>
          <w:rFonts w:ascii="Arial" w:cs="Arial" w:eastAsia="Arial" w:hAnsi="Arial"/>
        </w:rPr>
        <w:t xml:space="preserve">2. Scope</w:t>
      </w:r>
    </w:p>
    <w:p>
      <w:pPr>
        <w:spacing w:after="120" w:line="276"/>
      </w:pPr>
      <w:r>
        <w:rPr>
          <w:rFonts w:ascii="Arial" w:cs="Arial" w:eastAsia="Arial" w:hAnsi="Arial"/>
        </w:rPr>
        <w:t xml:space="preserve">This policy applies to all information systems, infrastructure, cloud services and end-user devices used for the Company's business, wherever they are hosted, and to everyone who uses them. In particular: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Area</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Covers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Business applications</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All applications used for the Company's business, whether hosted on premises, on cloud or by a service provider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Infrastructure and cloud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Servers, databases, storage, networks and cloud services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Collaboration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Email, file storage, document sharing and identity services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Service providers</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Third parties that provide services, systems or data processing to the Company</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End-user computing</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Company laptops, desktops, mobiles and printers</w:t>
            </w:r>
          </w:p>
        </w:tc>
      </w:tr>
    </w:tbl>
    <w:p>
      <w:pPr>
        <w:spacing w:after="120" w:line="276"/>
      </w:pPr>
    </w:p>
    <w:p>
      <w:pPr>
        <w:spacing w:after="120" w:line="276"/>
      </w:pPr>
      <w:r>
        <w:rPr>
          <w:rFonts w:ascii="Arial" w:cs="Arial" w:eastAsia="Arial" w:hAnsi="Arial"/>
        </w:rPr>
        <w:t xml:space="preserve">Systems and service providers in scope are recorded in the IT asset register and the vendor register, which are maintained by the Head of IT and do not form part of this policy.</w:t>
      </w:r>
    </w:p>
    <w:p>
      <w:pPr>
        <w:spacing w:after="120" w:line="276"/>
      </w:pPr>
      <w:r>
        <w:rPr>
          <w:rFonts w:ascii="Arial" w:cs="Arial" w:eastAsia="Arial" w:hAnsi="Arial"/>
        </w:rPr>
        <w:t xml:space="preserve">Systems run by service providers on the Company's behalf are covered through contracts and the Vendor Management Framework (AAML-IS-POL-09).</w:t>
      </w:r>
    </w:p>
    <w:p>
      <w:pPr>
        <w:pStyle w:val="Heading1"/>
        <w:spacing w:after="120" w:before="280"/>
      </w:pPr>
      <w:r>
        <w:rPr>
          <w:rFonts w:ascii="Arial" w:cs="Arial" w:eastAsia="Arial" w:hAnsi="Arial"/>
        </w:rPr>
        <w:t xml:space="preserve">3. IT governance</w:t>
      </w:r>
    </w:p>
    <w:p>
      <w:pPr>
        <w:pStyle w:val="Heading2"/>
        <w:spacing w:after="100" w:before="200"/>
      </w:pPr>
      <w:r>
        <w:rPr>
          <w:rFonts w:ascii="Arial" w:cs="Arial" w:eastAsia="Arial" w:hAnsi="Arial"/>
        </w:rPr>
        <w:t xml:space="preserve">3.1 Governance structure</w:t>
      </w:r>
    </w:p>
    <w:p>
      <w:pPr>
        <w:pStyle w:val="ListParagraph"/>
        <w:numPr>
          <w:ilvl w:val="0"/>
          <w:numId w:val="2"/>
        </w:numPr>
        <w:spacing w:after="60" w:line="264"/>
      </w:pPr>
      <w:r>
        <w:rPr>
          <w:rFonts w:ascii="Arial" w:cs="Arial" w:eastAsia="Arial" w:hAnsi="Arial"/>
          <w:b/>
          <w:bCs/>
        </w:rPr>
        <w:t xml:space="preserve">Board of Directors</w:t>
      </w:r>
      <w:r>
        <w:rPr>
          <w:rFonts w:ascii="Arial" w:cs="Arial" w:eastAsia="Arial" w:hAnsi="Arial"/>
        </w:rPr>
        <w:t xml:space="preserve"> — overall responsibility for IT and cyber risk; approves IT and IS policies.</w:t>
      </w:r>
    </w:p>
    <w:p>
      <w:pPr>
        <w:pStyle w:val="ListParagraph"/>
        <w:numPr>
          <w:ilvl w:val="0"/>
          <w:numId w:val="2"/>
        </w:numPr>
        <w:spacing w:after="60" w:line="264"/>
      </w:pPr>
      <w:r>
        <w:rPr>
          <w:rFonts w:ascii="Arial" w:cs="Arial" w:eastAsia="Arial" w:hAnsi="Arial"/>
          <w:b/>
          <w:bCs/>
        </w:rPr>
        <w:t xml:space="preserve">IT Strategy Committee</w:t>
      </w:r>
      <w:r>
        <w:rPr>
          <w:rFonts w:ascii="Arial" w:cs="Arial" w:eastAsia="Arial" w:hAnsi="Arial"/>
        </w:rPr>
        <w:t xml:space="preserve"> (Board-level; includes at least one independent director, the CEO, the CTO / Head of IT and the CISO) — sets IT strategy aligned to the business plan, approves major investments and outsourcing, monitors IT risk, projects, incidents and audit findings; meets at least twice a year and records minutes.</w:t>
      </w:r>
    </w:p>
    <w:p>
      <w:pPr>
        <w:pStyle w:val="ListParagraph"/>
        <w:numPr>
          <w:ilvl w:val="0"/>
          <w:numId w:val="2"/>
        </w:numPr>
        <w:spacing w:after="60" w:line="264"/>
      </w:pPr>
      <w:r>
        <w:rPr>
          <w:rFonts w:ascii="Arial" w:cs="Arial" w:eastAsia="Arial" w:hAnsi="Arial"/>
          <w:b/>
          <w:bCs/>
        </w:rPr>
        <w:t xml:space="preserve">Technology Committee / IT Steering Committee</w:t>
      </w:r>
      <w:r>
        <w:rPr>
          <w:rFonts w:ascii="Arial" w:cs="Arial" w:eastAsia="Arial" w:hAnsi="Arial"/>
        </w:rPr>
        <w:t xml:space="preserve"> (management level) — reviews operations, capacity, change, projects and vendor performance at least quarterly.</w:t>
      </w:r>
    </w:p>
    <w:p>
      <w:pPr>
        <w:pStyle w:val="ListParagraph"/>
        <w:numPr>
          <w:ilvl w:val="0"/>
          <w:numId w:val="2"/>
        </w:numPr>
        <w:spacing w:after="60" w:line="264"/>
      </w:pPr>
      <w:r>
        <w:rPr>
          <w:rFonts w:ascii="Arial" w:cs="Arial" w:eastAsia="Arial" w:hAnsi="Arial"/>
          <w:b/>
          <w:bCs/>
        </w:rPr>
        <w:t xml:space="preserve">Risk Management Committee</w:t>
      </w:r>
      <w:r>
        <w:rPr>
          <w:rFonts w:ascii="Arial" w:cs="Arial" w:eastAsia="Arial" w:hAnsi="Arial"/>
        </w:rPr>
        <w:t xml:space="preserve"> — includes IT and cyber risk in the enterprise risk register.</w:t>
      </w:r>
    </w:p>
    <w:p>
      <w:pPr>
        <w:pStyle w:val="Heading2"/>
        <w:spacing w:after="100" w:before="200"/>
      </w:pPr>
      <w:r>
        <w:rPr>
          <w:rFonts w:ascii="Arial" w:cs="Arial" w:eastAsia="Arial" w:hAnsi="Arial"/>
        </w:rPr>
        <w:t xml:space="preserve">3.2 Organisation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Role</w:t>
            </w:r>
          </w:p>
        </w:tc>
        <w:tc>
          <w:tcPr>
            <w:tcW w:type="dxa" w:w="63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Responsibility</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Board of Directors</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Approves this document; receives reports on compliance and significant exceptions.</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IT Strategy Committee</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Recommends the document to the Board, reviews compliance, exceptions and incidents at least twice a year.</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CEO</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Ensures adequate resources and that IT supports the business strategy.</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CTO / Head of IT</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Leads IT operations, projects, service providers and IT policy; reports to the CEO and the IT Strategy Committee.</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CISO</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Independent of IT operations; leads information security and cyber resilience; reports to the CEO / Risk Management Committee with access to the Board.</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IT operations team</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Infrastructure, cloud, email and collaboration, end-user support, backups, batch jobs, monitoring.</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Application owners</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One named owner for each critical application and platform.</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Business / data owners</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 access and changes for their systems and data; take part in reviews.</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All employees and contractors</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Follow this document; report incidents and weaknesses immediately.</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 Audit / System Auditor</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Independently verifies the design and operation of the controls.</w:t>
            </w:r>
          </w:p>
        </w:tc>
      </w:tr>
    </w:tbl>
    <w:p>
      <w:pPr>
        <w:spacing w:after="120" w:line="276"/>
      </w:pPr>
    </w:p>
    <w:p>
      <w:pPr>
        <w:pBdr>
          <w:left w:val="single" w:color="F59E0B" w:sz="12" w:space="6"/>
        </w:pBdr>
        <w:shd w:fill="FFF8E1" w:color="auto" w:val="clear"/>
        <w:spacing w:after="120"/>
      </w:pPr>
      <w:r>
        <w:rPr>
          <w:rFonts w:ascii="Arial" w:cs="Arial" w:eastAsia="Arial" w:hAnsi="Arial"/>
          <w:i/>
          <w:iCs/>
          <w:sz w:val="19"/>
          <w:szCs w:val="19"/>
        </w:rPr>
        <w:t xml:space="preserve">Attach the current IT organisation chart with reporting lines as Annexure A. The CISO must not report to the Head of IT.</w:t>
      </w:r>
    </w:p>
    <w:p>
      <w:pPr>
        <w:pStyle w:val="Heading2"/>
        <w:spacing w:after="100" w:before="200"/>
      </w:pPr>
      <w:r>
        <w:rPr>
          <w:rFonts w:ascii="Arial" w:cs="Arial" w:eastAsia="Arial" w:hAnsi="Arial"/>
        </w:rPr>
        <w:t xml:space="preserve">3.3 Strategy, risk and performance</w:t>
      </w:r>
    </w:p>
    <w:p>
      <w:pPr>
        <w:pStyle w:val="ListParagraph"/>
        <w:numPr>
          <w:ilvl w:val="0"/>
          <w:numId w:val="2"/>
        </w:numPr>
        <w:spacing w:after="60" w:line="264"/>
      </w:pPr>
      <w:r>
        <w:rPr>
          <w:rFonts w:ascii="Arial" w:cs="Arial" w:eastAsia="Arial" w:hAnsi="Arial"/>
        </w:rPr>
        <w:t xml:space="preserve">An IT strategy covering at least three years is maintained and reviewed every year by the IT Strategy Committee.</w:t>
      </w:r>
    </w:p>
    <w:p>
      <w:pPr>
        <w:pStyle w:val="ListParagraph"/>
        <w:numPr>
          <w:ilvl w:val="0"/>
          <w:numId w:val="2"/>
        </w:numPr>
        <w:spacing w:after="60" w:line="264"/>
      </w:pPr>
      <w:r>
        <w:rPr>
          <w:rFonts w:ascii="Arial" w:cs="Arial" w:eastAsia="Arial" w:hAnsi="Arial"/>
        </w:rPr>
        <w:t xml:space="preserve">IT risks are assessed at least once a year and on major change, recorded in the risk register with owners and treatment dates.</w:t>
      </w:r>
    </w:p>
    <w:p>
      <w:pPr>
        <w:pStyle w:val="ListParagraph"/>
        <w:numPr>
          <w:ilvl w:val="0"/>
          <w:numId w:val="2"/>
        </w:numPr>
        <w:spacing w:after="60" w:line="264"/>
      </w:pPr>
      <w:r>
        <w:rPr>
          <w:rFonts w:ascii="Arial" w:cs="Arial" w:eastAsia="Arial" w:hAnsi="Arial"/>
        </w:rPr>
        <w:t xml:space="preserve">Key indicators reported quarterly: availability of critical systems, incidents by severity, changes and failed changes, backup and restore results, open audit and VAPT findings, vendor SLA performance, patch compliance.</w:t>
      </w:r>
    </w:p>
    <w:p>
      <w:pPr>
        <w:pStyle w:val="Heading1"/>
        <w:spacing w:after="120" w:before="280"/>
      </w:pPr>
      <w:r>
        <w:rPr>
          <w:rFonts w:ascii="Arial" w:cs="Arial" w:eastAsia="Arial" w:hAnsi="Arial"/>
        </w:rPr>
        <w:t xml:space="preserve">4. General principles</w:t>
      </w:r>
    </w:p>
    <w:p>
      <w:pPr>
        <w:pStyle w:val="ListParagraph"/>
        <w:numPr>
          <w:ilvl w:val="0"/>
          <w:numId w:val="2"/>
        </w:numPr>
        <w:spacing w:after="60" w:line="264"/>
      </w:pPr>
      <w:r>
        <w:rPr>
          <w:rFonts w:ascii="Arial" w:cs="Arial" w:eastAsia="Arial" w:hAnsi="Arial"/>
        </w:rPr>
        <w:t xml:space="preserve">Every system and data set has a named business owner and IT owner.</w:t>
      </w:r>
    </w:p>
    <w:p>
      <w:pPr>
        <w:pStyle w:val="ListParagraph"/>
        <w:numPr>
          <w:ilvl w:val="0"/>
          <w:numId w:val="2"/>
        </w:numPr>
        <w:spacing w:after="60" w:line="264"/>
      </w:pPr>
      <w:r>
        <w:rPr>
          <w:rFonts w:ascii="Arial" w:cs="Arial" w:eastAsia="Arial" w:hAnsi="Arial"/>
        </w:rPr>
        <w:t xml:space="preserve">Segregation of duties: no single person can develop, approve and deploy a change, or create and approve their own access.</w:t>
      </w:r>
    </w:p>
    <w:p>
      <w:pPr>
        <w:pStyle w:val="ListParagraph"/>
        <w:numPr>
          <w:ilvl w:val="0"/>
          <w:numId w:val="2"/>
        </w:numPr>
        <w:spacing w:after="60" w:line="264"/>
      </w:pPr>
      <w:r>
        <w:rPr>
          <w:rFonts w:ascii="Arial" w:cs="Arial" w:eastAsia="Arial" w:hAnsi="Arial"/>
        </w:rPr>
        <w:t xml:space="preserve">Least privilege and need-to-know for all access.</w:t>
      </w:r>
    </w:p>
    <w:p>
      <w:pPr>
        <w:pStyle w:val="ListParagraph"/>
        <w:numPr>
          <w:ilvl w:val="0"/>
          <w:numId w:val="2"/>
        </w:numPr>
        <w:spacing w:after="60" w:line="264"/>
      </w:pPr>
      <w:r>
        <w:rPr>
          <w:rFonts w:ascii="Arial" w:cs="Arial" w:eastAsia="Arial" w:hAnsi="Arial"/>
        </w:rPr>
        <w:t xml:space="preserve">Documented procedures and retained evidence for every control (requests, approvals, logs, reports) — as the basis for internal and SEBI system audits.</w:t>
      </w:r>
    </w:p>
    <w:p>
      <w:pPr>
        <w:pStyle w:val="ListParagraph"/>
        <w:numPr>
          <w:ilvl w:val="0"/>
          <w:numId w:val="2"/>
        </w:numPr>
        <w:spacing w:after="60" w:line="264"/>
      </w:pPr>
      <w:r>
        <w:rPr>
          <w:rFonts w:ascii="Arial" w:cs="Arial" w:eastAsia="Arial" w:hAnsi="Arial"/>
        </w:rPr>
        <w:t xml:space="preserve">Critical systems are designed for the recovery objectives approved in the BCP &amp; DR Policy (AAML-IT-POL-03).</w:t>
      </w:r>
    </w:p>
    <w:p>
      <w:pPr>
        <w:pStyle w:val="Heading1"/>
        <w:spacing w:after="120" w:before="280"/>
      </w:pPr>
      <w:r>
        <w:rPr>
          <w:rFonts w:ascii="Arial" w:cs="Arial" w:eastAsia="Arial" w:hAnsi="Arial"/>
        </w:rPr>
        <w:t xml:space="preserve">5. Operating policies</w:t>
      </w:r>
    </w:p>
    <w:p>
      <w:pPr>
        <w:pStyle w:val="Heading2"/>
        <w:spacing w:after="100" w:before="200"/>
      </w:pPr>
      <w:r>
        <w:rPr>
          <w:rFonts w:ascii="Arial" w:cs="Arial" w:eastAsia="Arial" w:hAnsi="Arial"/>
        </w:rPr>
        <w:t xml:space="preserve">5.1 IT asset acquisition, management and retirement</w:t>
      </w:r>
    </w:p>
    <w:p>
      <w:pPr>
        <w:pStyle w:val="ListParagraph"/>
        <w:numPr>
          <w:ilvl w:val="0"/>
          <w:numId w:val="2"/>
        </w:numPr>
        <w:spacing w:after="60" w:line="264"/>
      </w:pPr>
      <w:r>
        <w:rPr>
          <w:rFonts w:ascii="Arial" w:cs="Arial" w:eastAsia="Arial" w:hAnsi="Arial"/>
        </w:rPr>
        <w:t xml:space="preserve">All hardware, software, licences and cloud subscriptions are bought through the approved procurement process with a business case, IT and CISO review (security, compatibility, licensing) and approval as per the delegation of authority.</w:t>
      </w:r>
    </w:p>
    <w:p>
      <w:pPr>
        <w:pStyle w:val="ListParagraph"/>
        <w:numPr>
          <w:ilvl w:val="0"/>
          <w:numId w:val="2"/>
        </w:numPr>
        <w:spacing w:after="60" w:line="264"/>
      </w:pPr>
      <w:r>
        <w:rPr>
          <w:rFonts w:ascii="Arial" w:cs="Arial" w:eastAsia="Arial" w:hAnsi="Arial"/>
        </w:rPr>
        <w:t xml:space="preserve">Every asset is recorded in the IT asset register on receipt: tag, serial number, owner, location, cost, warranty, licence and classification. The register is reconciled with physical / cloud inventory at least once a year.</w:t>
      </w:r>
    </w:p>
    <w:p>
      <w:pPr>
        <w:pStyle w:val="ListParagraph"/>
        <w:numPr>
          <w:ilvl w:val="0"/>
          <w:numId w:val="2"/>
        </w:numPr>
        <w:spacing w:after="60" w:line="264"/>
      </w:pPr>
      <w:r>
        <w:rPr>
          <w:rFonts w:ascii="Arial" w:cs="Arial" w:eastAsia="Arial" w:hAnsi="Arial"/>
        </w:rPr>
        <w:t xml:space="preserve">New software and SaaS must pass a security and data-protection review before use; unapproved software is not permitted.</w:t>
      </w:r>
    </w:p>
    <w:p>
      <w:pPr>
        <w:pStyle w:val="ListParagraph"/>
        <w:numPr>
          <w:ilvl w:val="0"/>
          <w:numId w:val="2"/>
        </w:numPr>
        <w:spacing w:after="60" w:line="264"/>
      </w:pPr>
      <w:r>
        <w:rPr>
          <w:rFonts w:ascii="Arial" w:cs="Arial" w:eastAsia="Arial" w:hAnsi="Arial"/>
        </w:rPr>
        <w:t xml:space="preserve">Assets are retired through a recorded process: data is wiped using an approved method (or the disk destroyed) with a certificate, licences are released and the register updated. Cloud resources are deleted only after data retention requirements are met.</w:t>
      </w:r>
    </w:p>
    <w:p>
      <w:pPr>
        <w:pStyle w:val="Heading2"/>
        <w:spacing w:after="100" w:before="200"/>
      </w:pPr>
      <w:r>
        <w:rPr>
          <w:rFonts w:ascii="Arial" w:cs="Arial" w:eastAsia="Arial" w:hAnsi="Arial"/>
        </w:rPr>
        <w:t xml:space="preserve">5.2 Logical access management</w:t>
      </w:r>
    </w:p>
    <w:p>
      <w:pPr>
        <w:pStyle w:val="ListParagraph"/>
        <w:numPr>
          <w:ilvl w:val="0"/>
          <w:numId w:val="2"/>
        </w:numPr>
        <w:spacing w:after="60" w:line="264"/>
      </w:pPr>
      <w:r>
        <w:rPr>
          <w:rFonts w:ascii="Arial" w:cs="Arial" w:eastAsia="Arial" w:hAnsi="Arial"/>
        </w:rPr>
        <w:t xml:space="preserve">Access is granted only on an approved request, as per the authorisation matrix for each system (business owner approval; IT provisions).</w:t>
      </w:r>
    </w:p>
    <w:p>
      <w:pPr>
        <w:pStyle w:val="ListParagraph"/>
        <w:numPr>
          <w:ilvl w:val="0"/>
          <w:numId w:val="2"/>
        </w:numPr>
        <w:spacing w:after="60" w:line="264"/>
      </w:pPr>
      <w:r>
        <w:rPr>
          <w:rFonts w:ascii="Arial" w:cs="Arial" w:eastAsia="Arial" w:hAnsi="Arial"/>
        </w:rPr>
        <w:t xml:space="preserve">Unique user IDs for everyone; shared or generic IDs only with CISO approval and a named owner. Multi-factor authentication for email and collaboration, cloud consoles, remote access and all privileged accounts.</w:t>
      </w:r>
    </w:p>
    <w:p>
      <w:pPr>
        <w:pStyle w:val="ListParagraph"/>
        <w:numPr>
          <w:ilvl w:val="0"/>
          <w:numId w:val="2"/>
        </w:numPr>
        <w:spacing w:after="60" w:line="264"/>
      </w:pPr>
      <w:r>
        <w:rPr>
          <w:rFonts w:ascii="Arial" w:cs="Arial" w:eastAsia="Arial" w:hAnsi="Arial"/>
        </w:rPr>
        <w:t xml:space="preserve">Access is changed on role change and removed on the last working day (or immediately on termination) based on the HR exit list.</w:t>
      </w:r>
    </w:p>
    <w:p>
      <w:pPr>
        <w:pStyle w:val="ListParagraph"/>
        <w:numPr>
          <w:ilvl w:val="0"/>
          <w:numId w:val="2"/>
        </w:numPr>
        <w:spacing w:after="60" w:line="264"/>
      </w:pPr>
      <w:r>
        <w:rPr>
          <w:rFonts w:ascii="Arial" w:cs="Arial" w:eastAsia="Arial" w:hAnsi="Arial"/>
        </w:rPr>
        <w:t xml:space="preserve">User access reviews: privileged accounts every quarter, all other users of critical systems every six months, with recorded sign-off by the business owner.</w:t>
      </w:r>
    </w:p>
    <w:p>
      <w:pPr>
        <w:pStyle w:val="ListParagraph"/>
        <w:numPr>
          <w:ilvl w:val="0"/>
          <w:numId w:val="2"/>
        </w:numPr>
        <w:spacing w:after="60" w:line="264"/>
      </w:pPr>
      <w:r>
        <w:rPr>
          <w:rFonts w:ascii="Arial" w:cs="Arial" w:eastAsia="Arial" w:hAnsi="Arial"/>
        </w:rPr>
        <w:t xml:space="preserve">Privileged access is limited, approved per person, logged and reviewed; administrator credentials are kept in a password vault or a privileged identity management tool.</w:t>
      </w:r>
    </w:p>
    <w:p>
      <w:pPr>
        <w:pStyle w:val="ListParagraph"/>
        <w:numPr>
          <w:ilvl w:val="0"/>
          <w:numId w:val="2"/>
        </w:numPr>
        <w:spacing w:after="60" w:line="264"/>
      </w:pPr>
      <w:r>
        <w:rPr>
          <w:rFonts w:ascii="Arial" w:cs="Arial" w:eastAsia="Arial" w:hAnsi="Arial"/>
        </w:rPr>
        <w:t xml:space="preserve">Password and lockout settings follow the Information Security Policy (minimum 12 characters, complexity, history, lockout after 5 failed attempts).</w:t>
      </w:r>
    </w:p>
    <w:p>
      <w:pPr>
        <w:pStyle w:val="ListParagraph"/>
        <w:numPr>
          <w:ilvl w:val="0"/>
          <w:numId w:val="2"/>
        </w:numPr>
        <w:spacing w:after="60" w:line="264"/>
      </w:pPr>
      <w:r>
        <w:rPr>
          <w:rFonts w:ascii="Arial" w:cs="Arial" w:eastAsia="Arial" w:hAnsi="Arial"/>
        </w:rPr>
        <w:t xml:space="preserve">Access logs for privileged users are reviewed at least monthly.</w:t>
      </w:r>
    </w:p>
    <w:p>
      <w:pPr>
        <w:pStyle w:val="Heading2"/>
        <w:spacing w:after="100" w:before="200"/>
      </w:pPr>
      <w:r>
        <w:rPr>
          <w:rFonts w:ascii="Arial" w:cs="Arial" w:eastAsia="Arial" w:hAnsi="Arial"/>
        </w:rPr>
        <w:t xml:space="preserve">5.3 Change management</w:t>
      </w:r>
    </w:p>
    <w:p>
      <w:pPr>
        <w:pStyle w:val="ListParagraph"/>
        <w:numPr>
          <w:ilvl w:val="0"/>
          <w:numId w:val="2"/>
        </w:numPr>
        <w:spacing w:after="60" w:line="264"/>
      </w:pPr>
      <w:r>
        <w:rPr>
          <w:rFonts w:ascii="Arial" w:cs="Arial" w:eastAsia="Arial" w:hAnsi="Arial"/>
        </w:rPr>
        <w:t xml:space="preserve">Every change to production (application, configuration, infrastructure, cloud and SaaS security settings) is raised as a change request in the ITSM tool with description, risk and impact, test plan, rollback plan and schedule.</w:t>
      </w:r>
    </w:p>
    <w:p>
      <w:pPr>
        <w:pStyle w:val="ListParagraph"/>
        <w:numPr>
          <w:ilvl w:val="0"/>
          <w:numId w:val="2"/>
        </w:numPr>
        <w:spacing w:after="60" w:line="264"/>
      </w:pPr>
      <w:r>
        <w:rPr>
          <w:rFonts w:ascii="Arial" w:cs="Arial" w:eastAsia="Arial" w:hAnsi="Arial"/>
        </w:rPr>
        <w:t xml:space="preserve">Approvals: IT (technical) and business owner; changes with security impact also by the CISO. Major changes are reviewed by the Change Advisory Board.</w:t>
      </w:r>
    </w:p>
    <w:p>
      <w:pPr>
        <w:pStyle w:val="ListParagraph"/>
        <w:numPr>
          <w:ilvl w:val="0"/>
          <w:numId w:val="2"/>
        </w:numPr>
        <w:spacing w:after="60" w:line="264"/>
      </w:pPr>
      <w:r>
        <w:rPr>
          <w:rFonts w:ascii="Arial" w:cs="Arial" w:eastAsia="Arial" w:hAnsi="Arial"/>
        </w:rPr>
        <w:t xml:space="preserve">Changes are tested in a non-production environment; users sign off UAT for functional changes. Vendor releases of business applications are reviewed and tested before deployment.</w:t>
      </w:r>
    </w:p>
    <w:p>
      <w:pPr>
        <w:pStyle w:val="ListParagraph"/>
        <w:numPr>
          <w:ilvl w:val="0"/>
          <w:numId w:val="2"/>
        </w:numPr>
        <w:spacing w:after="60" w:line="264"/>
      </w:pPr>
      <w:r>
        <w:rPr>
          <w:rFonts w:ascii="Arial" w:cs="Arial" w:eastAsia="Arial" w:hAnsi="Arial"/>
        </w:rPr>
        <w:t xml:space="preserve">Developers do not have write access to production; deployment is done by authorised operations staff.</w:t>
      </w:r>
    </w:p>
    <w:p>
      <w:pPr>
        <w:pStyle w:val="ListParagraph"/>
        <w:numPr>
          <w:ilvl w:val="0"/>
          <w:numId w:val="2"/>
        </w:numPr>
        <w:spacing w:after="60" w:line="264"/>
      </w:pPr>
      <w:r>
        <w:rPr>
          <w:rFonts w:ascii="Arial" w:cs="Arial" w:eastAsia="Arial" w:hAnsi="Arial"/>
        </w:rPr>
        <w:t xml:space="preserve">Emergency changes are approved verbally by the Head of IT (or delegate), recorded within one working day and ratified by the CAB.</w:t>
      </w:r>
    </w:p>
    <w:p>
      <w:pPr>
        <w:pStyle w:val="ListParagraph"/>
        <w:numPr>
          <w:ilvl w:val="0"/>
          <w:numId w:val="2"/>
        </w:numPr>
        <w:spacing w:after="60" w:line="264"/>
      </w:pPr>
      <w:r>
        <w:rPr>
          <w:rFonts w:ascii="Arial" w:cs="Arial" w:eastAsia="Arial" w:hAnsi="Arial"/>
        </w:rPr>
        <w:t xml:space="preserve">A post-implementation review is done for major and failed changes. Change records are retained for at least 8 years.</w:t>
      </w:r>
    </w:p>
    <w:p>
      <w:pPr>
        <w:pStyle w:val="Heading2"/>
        <w:spacing w:after="100" w:before="200"/>
      </w:pPr>
      <w:r>
        <w:rPr>
          <w:rFonts w:ascii="Arial" w:cs="Arial" w:eastAsia="Arial" w:hAnsi="Arial"/>
        </w:rPr>
        <w:t xml:space="preserve">5.4 Backup and recovery</w:t>
      </w:r>
    </w:p>
    <w:p>
      <w:pPr>
        <w:pStyle w:val="ListParagraph"/>
        <w:numPr>
          <w:ilvl w:val="0"/>
          <w:numId w:val="2"/>
        </w:numPr>
        <w:spacing w:after="60" w:line="264"/>
      </w:pPr>
      <w:r>
        <w:rPr>
          <w:rFonts w:ascii="Arial" w:cs="Arial" w:eastAsia="Arial" w:hAnsi="Arial"/>
        </w:rPr>
        <w:t xml:space="preserve">Backups cover all critical data: databases and application servers of core applications (cloud-native or database backups), email and file-storage data (independent backup, since SaaS retention alone is not a backup), configurations and infrastructure-as-code.</w:t>
      </w:r>
    </w:p>
    <w:p>
      <w:pPr>
        <w:pStyle w:val="ListParagraph"/>
        <w:numPr>
          <w:ilvl w:val="0"/>
          <w:numId w:val="2"/>
        </w:numPr>
        <w:spacing w:after="60" w:line="264"/>
      </w:pPr>
      <w:r>
        <w:rPr>
          <w:rFonts w:ascii="Arial" w:cs="Arial" w:eastAsia="Arial" w:hAnsi="Arial"/>
        </w:rPr>
        <w:t xml:space="preserve">Schedule (minimum): daily incremental, weekly full, monthly full retained 12 months, yearly retained as required by SEBI record-keeping rules. Backups are encrypted and at least one copy is immutable or logically separated (different region / vault).</w:t>
      </w:r>
    </w:p>
    <w:p>
      <w:pPr>
        <w:pStyle w:val="ListParagraph"/>
        <w:numPr>
          <w:ilvl w:val="0"/>
          <w:numId w:val="2"/>
        </w:numPr>
        <w:spacing w:after="60" w:line="264"/>
      </w:pPr>
      <w:r>
        <w:rPr>
          <w:rFonts w:ascii="Arial" w:cs="Arial" w:eastAsia="Arial" w:hAnsi="Arial"/>
        </w:rPr>
        <w:t xml:space="preserve">Backup success is monitored daily and failures are handled as incidents.</w:t>
      </w:r>
    </w:p>
    <w:p>
      <w:pPr>
        <w:pStyle w:val="ListParagraph"/>
        <w:numPr>
          <w:ilvl w:val="0"/>
          <w:numId w:val="2"/>
        </w:numPr>
        <w:spacing w:after="60" w:line="264"/>
      </w:pPr>
      <w:r>
        <w:rPr>
          <w:rFonts w:ascii="Arial" w:cs="Arial" w:eastAsia="Arial" w:hAnsi="Arial"/>
        </w:rPr>
        <w:t xml:space="preserve">Restore tests: at least one restore per critical system every quarter, recorded with date, data restored and result.</w:t>
      </w:r>
    </w:p>
    <w:p>
      <w:pPr>
        <w:pStyle w:val="ListParagraph"/>
        <w:numPr>
          <w:ilvl w:val="0"/>
          <w:numId w:val="2"/>
        </w:numPr>
        <w:spacing w:after="60" w:line="264"/>
      </w:pPr>
      <w:r>
        <w:rPr>
          <w:rFonts w:ascii="Arial" w:cs="Arial" w:eastAsia="Arial" w:hAnsi="Arial"/>
        </w:rPr>
        <w:t xml:space="preserve">Backup media / vault access is restricted and logged.</w:t>
      </w:r>
    </w:p>
    <w:p>
      <w:pPr>
        <w:pStyle w:val="Heading2"/>
        <w:spacing w:after="100" w:before="200"/>
      </w:pPr>
      <w:r>
        <w:rPr>
          <w:rFonts w:ascii="Arial" w:cs="Arial" w:eastAsia="Arial" w:hAnsi="Arial"/>
        </w:rPr>
        <w:t xml:space="preserve">5.5 Automated batch jobs</w:t>
      </w:r>
    </w:p>
    <w:p>
      <w:pPr>
        <w:pStyle w:val="ListParagraph"/>
        <w:numPr>
          <w:ilvl w:val="0"/>
          <w:numId w:val="2"/>
        </w:numPr>
        <w:spacing w:after="60" w:line="264"/>
      </w:pPr>
      <w:r>
        <w:rPr>
          <w:rFonts w:ascii="Arial" w:cs="Arial" w:eastAsia="Arial" w:hAnsi="Arial"/>
        </w:rPr>
        <w:t xml:space="preserve">All scheduled jobs (interfaces, file transfers with service providers, end-of-day processes, reports, backups) are listed in a job register with owner, schedule, dependencies and expected output.</w:t>
      </w:r>
    </w:p>
    <w:p>
      <w:pPr>
        <w:pStyle w:val="ListParagraph"/>
        <w:numPr>
          <w:ilvl w:val="0"/>
          <w:numId w:val="2"/>
        </w:numPr>
        <w:spacing w:after="60" w:line="264"/>
      </w:pPr>
      <w:r>
        <w:rPr>
          <w:rFonts w:ascii="Arial" w:cs="Arial" w:eastAsia="Arial" w:hAnsi="Arial"/>
        </w:rPr>
        <w:t xml:space="preserve">Creation or change of a job follows change management; scheduler admin access is restricted.</w:t>
      </w:r>
    </w:p>
    <w:p>
      <w:pPr>
        <w:pStyle w:val="ListParagraph"/>
        <w:numPr>
          <w:ilvl w:val="0"/>
          <w:numId w:val="2"/>
        </w:numPr>
        <w:spacing w:after="60" w:line="264"/>
      </w:pPr>
      <w:r>
        <w:rPr>
          <w:rFonts w:ascii="Arial" w:cs="Arial" w:eastAsia="Arial" w:hAnsi="Arial"/>
        </w:rPr>
        <w:t xml:space="preserve">Job completion and failures are monitored daily; failures are logged, reprocessed with authorisation and reported to the business owner when they affect NAV or investor data.</w:t>
      </w:r>
    </w:p>
    <w:p>
      <w:pPr>
        <w:pStyle w:val="ListParagraph"/>
        <w:numPr>
          <w:ilvl w:val="0"/>
          <w:numId w:val="2"/>
        </w:numPr>
        <w:spacing w:after="60" w:line="264"/>
      </w:pPr>
      <w:r>
        <w:rPr>
          <w:rFonts w:ascii="Arial" w:cs="Arial" w:eastAsia="Arial" w:hAnsi="Arial"/>
        </w:rPr>
        <w:t xml:space="preserve">File transfers with service providers use secure channels (SFTP / HTTPS with encryption) and are reconciled.</w:t>
      </w:r>
    </w:p>
    <w:p>
      <w:pPr>
        <w:pStyle w:val="Heading2"/>
        <w:spacing w:after="100" w:before="200"/>
      </w:pPr>
      <w:r>
        <w:rPr>
          <w:rFonts w:ascii="Arial" w:cs="Arial" w:eastAsia="Arial" w:hAnsi="Arial"/>
        </w:rPr>
        <w:t xml:space="preserve">5.6 Incident management</w:t>
      </w:r>
    </w:p>
    <w:p>
      <w:pPr>
        <w:pStyle w:val="ListParagraph"/>
        <w:numPr>
          <w:ilvl w:val="0"/>
          <w:numId w:val="2"/>
        </w:numPr>
        <w:spacing w:after="60" w:line="264"/>
      </w:pPr>
      <w:r>
        <w:rPr>
          <w:rFonts w:ascii="Arial" w:cs="Arial" w:eastAsia="Arial" w:hAnsi="Arial"/>
        </w:rPr>
        <w:t xml:space="preserve">Incidents are logged in the ITSM tool, categorised and prioritised (P1–P4) with target response and resolution times.</w:t>
      </w:r>
    </w:p>
    <w:p>
      <w:pPr>
        <w:pStyle w:val="ListParagraph"/>
        <w:numPr>
          <w:ilvl w:val="0"/>
          <w:numId w:val="2"/>
        </w:numPr>
        <w:spacing w:after="60" w:line="264"/>
      </w:pPr>
      <w:r>
        <w:rPr>
          <w:rFonts w:ascii="Arial" w:cs="Arial" w:eastAsia="Arial" w:hAnsi="Arial"/>
        </w:rPr>
        <w:t xml:space="preserve">P1 (critical system down, NAV or investor-servicing impact, or suspected cyber incident) is escalated immediately to the Head of IT and CISO; cyber incidents follow the Information Security Policy and are reported to CERT-In within 6 hours and to SEBI within the timelines in CSCRF.</w:t>
      </w:r>
    </w:p>
    <w:p>
      <w:pPr>
        <w:pStyle w:val="ListParagraph"/>
        <w:numPr>
          <w:ilvl w:val="0"/>
          <w:numId w:val="2"/>
        </w:numPr>
        <w:spacing w:after="60" w:line="264"/>
      </w:pPr>
      <w:r>
        <w:rPr>
          <w:rFonts w:ascii="Arial" w:cs="Arial" w:eastAsia="Arial" w:hAnsi="Arial"/>
        </w:rPr>
        <w:t xml:space="preserve">Root cause is recorded for P1/P2 incidents; recurring incidents are passed to problem management.</w:t>
      </w:r>
    </w:p>
    <w:p>
      <w:pPr>
        <w:pStyle w:val="ListParagraph"/>
        <w:numPr>
          <w:ilvl w:val="0"/>
          <w:numId w:val="2"/>
        </w:numPr>
        <w:spacing w:after="60" w:line="264"/>
      </w:pPr>
      <w:r>
        <w:rPr>
          <w:rFonts w:ascii="Arial" w:cs="Arial" w:eastAsia="Arial" w:hAnsi="Arial"/>
        </w:rPr>
        <w:t xml:space="preserve">Incident trends are reported to the IT Strategy Committee.</w:t>
      </w:r>
    </w:p>
    <w:p>
      <w:pPr>
        <w:pStyle w:val="Heading2"/>
        <w:spacing w:after="100" w:before="200"/>
      </w:pPr>
      <w:r>
        <w:rPr>
          <w:rFonts w:ascii="Arial" w:cs="Arial" w:eastAsia="Arial" w:hAnsi="Arial"/>
        </w:rPr>
        <w:t xml:space="preserve">5.7 Problem management</w:t>
      </w:r>
    </w:p>
    <w:p>
      <w:pPr>
        <w:pStyle w:val="ListParagraph"/>
        <w:numPr>
          <w:ilvl w:val="0"/>
          <w:numId w:val="2"/>
        </w:numPr>
        <w:spacing w:after="60" w:line="264"/>
      </w:pPr>
      <w:r>
        <w:rPr>
          <w:rFonts w:ascii="Arial" w:cs="Arial" w:eastAsia="Arial" w:hAnsi="Arial"/>
        </w:rPr>
        <w:t xml:space="preserve">Problems (underlying causes of one or more incidents) are logged, investigated and tracked to a permanent fix.</w:t>
      </w:r>
    </w:p>
    <w:p>
      <w:pPr>
        <w:pStyle w:val="ListParagraph"/>
        <w:numPr>
          <w:ilvl w:val="0"/>
          <w:numId w:val="2"/>
        </w:numPr>
        <w:spacing w:after="60" w:line="264"/>
      </w:pPr>
      <w:r>
        <w:rPr>
          <w:rFonts w:ascii="Arial" w:cs="Arial" w:eastAsia="Arial" w:hAnsi="Arial"/>
        </w:rPr>
        <w:t xml:space="preserve">Root cause analysis is documented for P1/P2 incidents within 10 working days.</w:t>
      </w:r>
    </w:p>
    <w:p>
      <w:pPr>
        <w:pStyle w:val="ListParagraph"/>
        <w:numPr>
          <w:ilvl w:val="0"/>
          <w:numId w:val="2"/>
        </w:numPr>
        <w:spacing w:after="60" w:line="264"/>
      </w:pPr>
      <w:r>
        <w:rPr>
          <w:rFonts w:ascii="Arial" w:cs="Arial" w:eastAsia="Arial" w:hAnsi="Arial"/>
        </w:rPr>
        <w:t xml:space="preserve">A known-error record with workaround is kept until the fix is deployed through change management.</w:t>
      </w:r>
    </w:p>
    <w:p>
      <w:pPr>
        <w:pStyle w:val="Heading2"/>
        <w:spacing w:after="100" w:before="200"/>
      </w:pPr>
      <w:r>
        <w:rPr>
          <w:rFonts w:ascii="Arial" w:cs="Arial" w:eastAsia="Arial" w:hAnsi="Arial"/>
        </w:rPr>
        <w:t xml:space="preserve">5.8 Data centre and cloud operations</w:t>
      </w:r>
    </w:p>
    <w:p>
      <w:pPr>
        <w:pStyle w:val="ListParagraph"/>
        <w:numPr>
          <w:ilvl w:val="0"/>
          <w:numId w:val="2"/>
        </w:numPr>
        <w:spacing w:after="60" w:line="264"/>
      </w:pPr>
      <w:r>
        <w:rPr>
          <w:rFonts w:ascii="Arial" w:cs="Arial" w:eastAsia="Arial" w:hAnsi="Arial"/>
        </w:rPr>
        <w:t xml:space="preserve">Where the Company has no own data centre, production runs on public cloud, SaaS and service providers' facilities. Physical security of these facilities is assured through the providers' independent reports (ISO 27001 / SOC 2 Type II), reviewed every year.</w:t>
      </w:r>
    </w:p>
    <w:p>
      <w:pPr>
        <w:pStyle w:val="ListParagraph"/>
        <w:numPr>
          <w:ilvl w:val="0"/>
          <w:numId w:val="2"/>
        </w:numPr>
        <w:spacing w:after="60" w:line="264"/>
      </w:pPr>
      <w:r>
        <w:rPr>
          <w:rFonts w:ascii="Arial" w:cs="Arial" w:eastAsia="Arial" w:hAnsi="Arial"/>
        </w:rPr>
        <w:t xml:space="preserve">Public cloud is operated under a landing-zone design: separate accounts / subscriptions for production and non-production, policy-enforced mandatory controls, resource locks on production, tagging and cost monitoring.</w:t>
      </w:r>
    </w:p>
    <w:p>
      <w:pPr>
        <w:pStyle w:val="ListParagraph"/>
        <w:numPr>
          <w:ilvl w:val="0"/>
          <w:numId w:val="2"/>
        </w:numPr>
        <w:spacing w:after="60" w:line="264"/>
      </w:pPr>
      <w:r>
        <w:rPr>
          <w:rFonts w:ascii="Arial" w:cs="Arial" w:eastAsia="Arial" w:hAnsi="Arial"/>
        </w:rPr>
        <w:t xml:space="preserve">Disaster recovery for core applications uses a secondary cloud region or site as per the BCP &amp; DR Policy.</w:t>
      </w:r>
    </w:p>
    <w:p>
      <w:pPr>
        <w:pStyle w:val="ListParagraph"/>
        <w:numPr>
          <w:ilvl w:val="0"/>
          <w:numId w:val="2"/>
        </w:numPr>
        <w:spacing w:after="60" w:line="264"/>
      </w:pPr>
      <w:r>
        <w:rPr>
          <w:rFonts w:ascii="Arial" w:cs="Arial" w:eastAsia="Arial" w:hAnsi="Arial"/>
        </w:rPr>
        <w:t xml:space="preserve">The office network room / comms cabinet is locked, access-controlled and listed in the physical access register; environmental controls (power backup, cooling, fire detection) are maintained.</w:t>
      </w:r>
    </w:p>
    <w:p>
      <w:pPr>
        <w:pStyle w:val="ListParagraph"/>
        <w:numPr>
          <w:ilvl w:val="0"/>
          <w:numId w:val="2"/>
        </w:numPr>
        <w:spacing w:after="60" w:line="264"/>
      </w:pPr>
      <w:r>
        <w:rPr>
          <w:rFonts w:ascii="Arial" w:cs="Arial" w:eastAsia="Arial" w:hAnsi="Arial"/>
        </w:rPr>
        <w:t xml:space="preserve">Capacity and performance of critical systems are monitored and reviewed quarterly.</w:t>
      </w:r>
    </w:p>
    <w:p>
      <w:pPr>
        <w:pStyle w:val="Heading2"/>
        <w:spacing w:after="100" w:before="200"/>
      </w:pPr>
      <w:r>
        <w:rPr>
          <w:rFonts w:ascii="Arial" w:cs="Arial" w:eastAsia="Arial" w:hAnsi="Arial"/>
        </w:rPr>
        <w:t xml:space="preserve">5.9 Operating systems and database management</w:t>
      </w:r>
    </w:p>
    <w:p>
      <w:pPr>
        <w:pStyle w:val="ListParagraph"/>
        <w:numPr>
          <w:ilvl w:val="0"/>
          <w:numId w:val="2"/>
        </w:numPr>
        <w:spacing w:after="60" w:line="264"/>
      </w:pPr>
      <w:r>
        <w:rPr>
          <w:rFonts w:ascii="Arial" w:cs="Arial" w:eastAsia="Arial" w:hAnsi="Arial"/>
        </w:rPr>
        <w:t xml:space="preserve">Servers and databases are built from approved hardened baselines (Hardening Standard AAML-IS-STD-02).</w:t>
      </w:r>
    </w:p>
    <w:p>
      <w:pPr>
        <w:pStyle w:val="ListParagraph"/>
        <w:numPr>
          <w:ilvl w:val="0"/>
          <w:numId w:val="2"/>
        </w:numPr>
        <w:spacing w:after="60" w:line="264"/>
      </w:pPr>
      <w:r>
        <w:rPr>
          <w:rFonts w:ascii="Arial" w:cs="Arial" w:eastAsia="Arial" w:hAnsi="Arial"/>
        </w:rPr>
        <w:t xml:space="preserve">Security patches: critical within 14 days (or sooner if exploited in the wild), high within 30 days, others in the monthly cycle — after testing.</w:t>
      </w:r>
    </w:p>
    <w:p>
      <w:pPr>
        <w:pStyle w:val="ListParagraph"/>
        <w:numPr>
          <w:ilvl w:val="0"/>
          <w:numId w:val="2"/>
        </w:numPr>
        <w:spacing w:after="60" w:line="264"/>
      </w:pPr>
      <w:r>
        <w:rPr>
          <w:rFonts w:ascii="Arial" w:cs="Arial" w:eastAsia="Arial" w:hAnsi="Arial"/>
        </w:rPr>
        <w:t xml:space="preserve">Only supported OS and database versions are used; end-of-life versions are on a dated replacement plan approved as an exception.</w:t>
      </w:r>
    </w:p>
    <w:p>
      <w:pPr>
        <w:pStyle w:val="ListParagraph"/>
        <w:numPr>
          <w:ilvl w:val="0"/>
          <w:numId w:val="2"/>
        </w:numPr>
        <w:spacing w:after="60" w:line="264"/>
      </w:pPr>
      <w:r>
        <w:rPr>
          <w:rFonts w:ascii="Arial" w:cs="Arial" w:eastAsia="Arial" w:hAnsi="Arial"/>
        </w:rPr>
        <w:t xml:space="preserve">Database administrator access is limited, logged and reviewed; direct changes to production data require an approved change and are logged.</w:t>
      </w:r>
    </w:p>
    <w:p>
      <w:pPr>
        <w:pStyle w:val="Heading2"/>
        <w:spacing w:after="100" w:before="200"/>
      </w:pPr>
      <w:r>
        <w:rPr>
          <w:rFonts w:ascii="Arial" w:cs="Arial" w:eastAsia="Arial" w:hAnsi="Arial"/>
        </w:rPr>
        <w:t xml:space="preserve">5.10 Network and communication management</w:t>
      </w:r>
    </w:p>
    <w:p>
      <w:pPr>
        <w:pStyle w:val="ListParagraph"/>
        <w:numPr>
          <w:ilvl w:val="0"/>
          <w:numId w:val="2"/>
        </w:numPr>
        <w:spacing w:after="60" w:line="264"/>
      </w:pPr>
      <w:r>
        <w:rPr>
          <w:rFonts w:ascii="Arial" w:cs="Arial" w:eastAsia="Arial" w:hAnsi="Arial"/>
        </w:rPr>
        <w:t xml:space="preserve">Network diagrams (office, cloud virtual networks, connectivity to vendors) are kept current and reviewed every six months.</w:t>
      </w:r>
    </w:p>
    <w:p>
      <w:pPr>
        <w:pStyle w:val="ListParagraph"/>
        <w:numPr>
          <w:ilvl w:val="0"/>
          <w:numId w:val="2"/>
        </w:numPr>
        <w:spacing w:after="60" w:line="264"/>
      </w:pPr>
      <w:r>
        <w:rPr>
          <w:rFonts w:ascii="Arial" w:cs="Arial" w:eastAsia="Arial" w:hAnsi="Arial"/>
        </w:rPr>
        <w:t xml:space="preserve">Firewalls and cloud network security groups follow default-deny; rules have an owner and business reason and are reviewed every six months.</w:t>
      </w:r>
    </w:p>
    <w:p>
      <w:pPr>
        <w:pStyle w:val="ListParagraph"/>
        <w:numPr>
          <w:ilvl w:val="0"/>
          <w:numId w:val="2"/>
        </w:numPr>
        <w:spacing w:after="60" w:line="264"/>
      </w:pPr>
      <w:r>
        <w:rPr>
          <w:rFonts w:ascii="Arial" w:cs="Arial" w:eastAsia="Arial" w:hAnsi="Arial"/>
        </w:rPr>
        <w:t xml:space="preserve">Remote access only through approved VPN / zero-trust access with MFA. Public endpoints of cloud services are minimised (private endpoints where possible).</w:t>
      </w:r>
    </w:p>
    <w:p>
      <w:pPr>
        <w:pStyle w:val="ListParagraph"/>
        <w:numPr>
          <w:ilvl w:val="0"/>
          <w:numId w:val="2"/>
        </w:numPr>
        <w:spacing w:after="60" w:line="264"/>
      </w:pPr>
      <w:r>
        <w:rPr>
          <w:rFonts w:ascii="Arial" w:cs="Arial" w:eastAsia="Arial" w:hAnsi="Arial"/>
        </w:rPr>
        <w:t xml:space="preserve">Network devices are configured to the hardening standard, backed up and patched.</w:t>
      </w:r>
    </w:p>
    <w:p>
      <w:pPr>
        <w:pStyle w:val="ListParagraph"/>
        <w:numPr>
          <w:ilvl w:val="0"/>
          <w:numId w:val="2"/>
        </w:numPr>
        <w:spacing w:after="60" w:line="264"/>
      </w:pPr>
      <w:r>
        <w:rPr>
          <w:rFonts w:ascii="Arial" w:cs="Arial" w:eastAsia="Arial" w:hAnsi="Arial"/>
        </w:rPr>
        <w:t xml:space="preserve">Wireless networks use WPA2/WPA3-Enterprise; guest Wi-Fi is separated from the corporate network.</w:t>
      </w:r>
    </w:p>
    <w:p>
      <w:pPr>
        <w:pStyle w:val="Heading2"/>
        <w:spacing w:after="100" w:before="200"/>
      </w:pPr>
      <w:r>
        <w:rPr>
          <w:rFonts w:ascii="Arial" w:cs="Arial" w:eastAsia="Arial" w:hAnsi="Arial"/>
        </w:rPr>
        <w:t xml:space="preserve">5.11 End-user computing</w:t>
      </w:r>
    </w:p>
    <w:p>
      <w:pPr>
        <w:pStyle w:val="ListParagraph"/>
        <w:numPr>
          <w:ilvl w:val="0"/>
          <w:numId w:val="2"/>
        </w:numPr>
        <w:spacing w:after="60" w:line="264"/>
      </w:pPr>
      <w:r>
        <w:rPr>
          <w:rFonts w:ascii="Arial" w:cs="Arial" w:eastAsia="Arial" w:hAnsi="Arial"/>
        </w:rPr>
        <w:t xml:space="preserve">Laptops and desktops are Company-managed through endpoint management: disk encryption, endpoint protection (EDR), automatic patching, screen lock after 10 minutes, no local administrator rights for users.</w:t>
      </w:r>
    </w:p>
    <w:p>
      <w:pPr>
        <w:pStyle w:val="ListParagraph"/>
        <w:numPr>
          <w:ilvl w:val="0"/>
          <w:numId w:val="2"/>
        </w:numPr>
        <w:spacing w:after="60" w:line="264"/>
      </w:pPr>
      <w:r>
        <w:rPr>
          <w:rFonts w:ascii="Arial" w:cs="Arial" w:eastAsia="Arial" w:hAnsi="Arial"/>
        </w:rPr>
        <w:t xml:space="preserve">USB storage is blocked by default; exceptions need CISO approval.</w:t>
      </w:r>
    </w:p>
    <w:p>
      <w:pPr>
        <w:pStyle w:val="ListParagraph"/>
        <w:numPr>
          <w:ilvl w:val="0"/>
          <w:numId w:val="2"/>
        </w:numPr>
        <w:spacing w:after="60" w:line="264"/>
      </w:pPr>
      <w:r>
        <w:rPr>
          <w:rFonts w:ascii="Arial" w:cs="Arial" w:eastAsia="Arial" w:hAnsi="Arial"/>
        </w:rPr>
        <w:t xml:space="preserve">Mobile access to email and data only on enrolled or policy-protected devices.</w:t>
      </w:r>
    </w:p>
    <w:p>
      <w:pPr>
        <w:pStyle w:val="ListParagraph"/>
        <w:numPr>
          <w:ilvl w:val="0"/>
          <w:numId w:val="2"/>
        </w:numPr>
        <w:spacing w:after="60" w:line="264"/>
      </w:pPr>
      <w:r>
        <w:rPr>
          <w:rFonts w:ascii="Arial" w:cs="Arial" w:eastAsia="Arial" w:hAnsi="Arial"/>
        </w:rPr>
        <w:t xml:space="preserve">Printers, scanners and multi-function devices are on the corporate network, patched, and print-release is used for confidential documents.</w:t>
      </w:r>
    </w:p>
    <w:p>
      <w:pPr>
        <w:pStyle w:val="ListParagraph"/>
        <w:numPr>
          <w:ilvl w:val="0"/>
          <w:numId w:val="2"/>
        </w:numPr>
        <w:spacing w:after="60" w:line="264"/>
      </w:pPr>
      <w:r>
        <w:rPr>
          <w:rFonts w:ascii="Arial" w:cs="Arial" w:eastAsia="Arial" w:hAnsi="Arial"/>
        </w:rPr>
        <w:t xml:space="preserve">Spreadsheets and user tools used for NAV, valuation or regulatory reporting are listed, owned, access-controlled, version-controlled and checked (maker-checker).</w:t>
      </w:r>
    </w:p>
    <w:p>
      <w:pPr>
        <w:pStyle w:val="Heading2"/>
        <w:spacing w:after="100" w:before="200"/>
      </w:pPr>
      <w:r>
        <w:rPr>
          <w:rFonts w:ascii="Arial" w:cs="Arial" w:eastAsia="Arial" w:hAnsi="Arial"/>
        </w:rPr>
        <w:t xml:space="preserve">5.12 Acceptable use of IT assets</w:t>
      </w:r>
    </w:p>
    <w:p>
      <w:pPr>
        <w:pStyle w:val="ListParagraph"/>
        <w:numPr>
          <w:ilvl w:val="0"/>
          <w:numId w:val="2"/>
        </w:numPr>
        <w:spacing w:after="60" w:line="264"/>
      </w:pPr>
      <w:r>
        <w:rPr>
          <w:rFonts w:ascii="Arial" w:cs="Arial" w:eastAsia="Arial" w:hAnsi="Arial"/>
        </w:rPr>
        <w:t xml:space="preserve">IT assets are for business use; limited personal use is allowed if it does not affect work, security or the Company's reputation.</w:t>
      </w:r>
    </w:p>
    <w:p>
      <w:pPr>
        <w:pStyle w:val="ListParagraph"/>
        <w:numPr>
          <w:ilvl w:val="0"/>
          <w:numId w:val="2"/>
        </w:numPr>
        <w:spacing w:after="60" w:line="264"/>
      </w:pPr>
      <w:r>
        <w:rPr>
          <w:rFonts w:ascii="Arial" w:cs="Arial" w:eastAsia="Arial" w:hAnsi="Arial"/>
        </w:rPr>
        <w:t xml:space="preserve">Users must not share passwords, bypass security controls, install unapproved software, store Company data on personal devices or personal cloud storage, or forward Company email to personal accounts.</w:t>
      </w:r>
    </w:p>
    <w:p>
      <w:pPr>
        <w:pStyle w:val="ListParagraph"/>
        <w:numPr>
          <w:ilvl w:val="0"/>
          <w:numId w:val="2"/>
        </w:numPr>
        <w:spacing w:after="60" w:line="264"/>
      </w:pPr>
      <w:r>
        <w:rPr>
          <w:rFonts w:ascii="Arial" w:cs="Arial" w:eastAsia="Arial" w:hAnsi="Arial"/>
        </w:rPr>
        <w:t xml:space="preserve">Users must report lost or stolen devices, suspected phishing and security incidents immediately to the IT helpdesk.</w:t>
      </w:r>
    </w:p>
    <w:p>
      <w:pPr>
        <w:pStyle w:val="ListParagraph"/>
        <w:numPr>
          <w:ilvl w:val="0"/>
          <w:numId w:val="2"/>
        </w:numPr>
        <w:spacing w:after="60" w:line="264"/>
      </w:pPr>
      <w:r>
        <w:rPr>
          <w:rFonts w:ascii="Arial" w:cs="Arial" w:eastAsia="Arial" w:hAnsi="Arial"/>
        </w:rPr>
        <w:t xml:space="preserve">The Company may monitor use of its systems for security and compliance, as stated in employee terms.</w:t>
      </w:r>
    </w:p>
    <w:p>
      <w:pPr>
        <w:pStyle w:val="ListParagraph"/>
        <w:numPr>
          <w:ilvl w:val="0"/>
          <w:numId w:val="2"/>
        </w:numPr>
        <w:spacing w:after="60" w:line="264"/>
      </w:pPr>
      <w:r>
        <w:rPr>
          <w:rFonts w:ascii="Arial" w:cs="Arial" w:eastAsia="Arial" w:hAnsi="Arial"/>
        </w:rPr>
        <w:t xml:space="preserve">Every user signs the acceptable-use acknowledgement on joining and every year.</w:t>
      </w:r>
    </w:p>
    <w:p>
      <w:pPr>
        <w:pStyle w:val="Heading1"/>
        <w:spacing w:after="120" w:before="280"/>
      </w:pPr>
      <w:r>
        <w:rPr>
          <w:rFonts w:ascii="Arial" w:cs="Arial" w:eastAsia="Arial" w:hAnsi="Arial"/>
        </w:rPr>
        <w:t xml:space="preserve">References</w:t>
      </w:r>
    </w:p>
    <w:p>
      <w:pPr>
        <w:pStyle w:val="ListParagraph"/>
        <w:numPr>
          <w:ilvl w:val="0"/>
          <w:numId w:val="2"/>
        </w:numPr>
        <w:spacing w:after="60" w:line="264"/>
      </w:pPr>
      <w:r>
        <w:rPr>
          <w:rFonts w:ascii="Arial" w:cs="Arial" w:eastAsia="Arial" w:hAnsi="Arial"/>
        </w:rPr>
        <w:t xml:space="preserve">SEBI (Mutual Funds) Regulations, 1996 and the SEBI Master Circular for Mutual Funds, as amended from time to time, including the provisions on system audit, IT governance and technology committees</w:t>
      </w:r>
    </w:p>
    <w:p>
      <w:pPr>
        <w:pStyle w:val="ListParagraph"/>
        <w:numPr>
          <w:ilvl w:val="0"/>
          <w:numId w:val="2"/>
        </w:numPr>
        <w:spacing w:after="60" w:line="264"/>
      </w:pPr>
      <w:r>
        <w:rPr>
          <w:rFonts w:ascii="Arial" w:cs="Arial" w:eastAsia="Arial" w:hAnsi="Arial"/>
        </w:rPr>
        <w:t xml:space="preserve">SEBI Cybersecurity and Cyber Resilience Framework (CSCRF) for SEBI Regulated Entities, circular dated 20 August 2024, with its clarifications and amendments</w:t>
      </w:r>
    </w:p>
    <w:p>
      <w:pPr>
        <w:pStyle w:val="ListParagraph"/>
        <w:numPr>
          <w:ilvl w:val="0"/>
          <w:numId w:val="2"/>
        </w:numPr>
        <w:spacing w:after="60" w:line="264"/>
      </w:pPr>
      <w:r>
        <w:rPr>
          <w:rFonts w:ascii="Arial" w:cs="Arial" w:eastAsia="Arial" w:hAnsi="Arial"/>
        </w:rPr>
        <w:t xml:space="preserve">Information Technology Act, 2000 and the CERT-In Directions of 28 April 2022 (including 6-hour incident reporting and 180-day log retention)</w:t>
      </w:r>
    </w:p>
    <w:p>
      <w:pPr>
        <w:pStyle w:val="ListParagraph"/>
        <w:numPr>
          <w:ilvl w:val="0"/>
          <w:numId w:val="2"/>
        </w:numPr>
        <w:spacing w:after="60" w:line="264"/>
      </w:pPr>
      <w:r>
        <w:rPr>
          <w:rFonts w:ascii="Arial" w:cs="Arial" w:eastAsia="Arial" w:hAnsi="Arial"/>
        </w:rPr>
        <w:t xml:space="preserve">Digital Personal Data Protection Act, 2023 and the Digital Personal Data Protection Rules, 2025</w:t>
      </w:r>
    </w:p>
    <w:p>
      <w:pPr>
        <w:pStyle w:val="ListParagraph"/>
        <w:numPr>
          <w:ilvl w:val="0"/>
          <w:numId w:val="2"/>
        </w:numPr>
        <w:spacing w:after="60" w:line="264"/>
      </w:pPr>
      <w:r>
        <w:rPr>
          <w:rFonts w:ascii="Arial" w:cs="Arial" w:eastAsia="Arial" w:hAnsi="Arial"/>
        </w:rPr>
        <w:t xml:space="preserve">ISO/IEC 27001:2022 and ISO 22301:2019 (used as good-practice references, not for certification unless decided by the Board)</w:t>
      </w:r>
    </w:p>
    <w:p>
      <w:pPr>
        <w:pStyle w:val="Heading1"/>
        <w:spacing w:after="120" w:before="280"/>
      </w:pPr>
      <w:r>
        <w:rPr>
          <w:rFonts w:ascii="Arial" w:cs="Arial" w:eastAsia="Arial" w:hAnsi="Arial"/>
        </w:rPr>
        <w:t xml:space="preserve">Compliance, monitoring and exceptions</w:t>
      </w:r>
    </w:p>
    <w:p>
      <w:pPr>
        <w:pStyle w:val="ListParagraph"/>
        <w:numPr>
          <w:ilvl w:val="0"/>
          <w:numId w:val="2"/>
        </w:numPr>
        <w:spacing w:after="60" w:line="264"/>
      </w:pPr>
      <w:r>
        <w:rPr>
          <w:rFonts w:ascii="Arial" w:cs="Arial" w:eastAsia="Arial" w:hAnsi="Arial"/>
        </w:rPr>
        <w:t xml:space="preserve">Compliance with this document is monitored by the Head of IT and reviewed independently by Internal Audit and the annual SEBI system audit.</w:t>
      </w:r>
    </w:p>
    <w:p>
      <w:pPr>
        <w:pStyle w:val="ListParagraph"/>
        <w:numPr>
          <w:ilvl w:val="0"/>
          <w:numId w:val="2"/>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2"/>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1a</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IT governance framework, organisation structure, roles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Sections 3, 4</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IT Policy</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Whole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 (a)</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IT assets acquisition (including retirement)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5.1</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 (b)</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Logical access management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5.2</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 (c)</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Change management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5.3</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 (d)</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Backup and recovery</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5.4</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 (e)</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Automated batch jobs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5.5</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 (f)</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Incident management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5.6</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 (g)</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Problem management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5.7</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 (h)</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Data centre operations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5.8</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 (i)</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Operating systems and database management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5.9</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 (j)</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Network and communication management</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5.10</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 (k)</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End user computing</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5.11</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1d (l)</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Acceptable use of IT assets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5.12</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Information Technology Policy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Technology Policy</dc:title>
  <dc:creator>Ashika Asset Management Limited</dc:creator>
  <dc:description>Draft policy</dc:description>
  <cp:lastModifiedBy>Un-named</cp:lastModifiedBy>
  <cp:revision>1</cp:revision>
  <dcterms:created xsi:type="dcterms:W3CDTF">2026-10-29T16:44:46.918Z</dcterms:created>
  <dcterms:modified xsi:type="dcterms:W3CDTF">2026-10-29T16:44:46.919Z</dcterms:modified>
</cp:coreProperties>
</file>

<file path=docProps/custom.xml><?xml version="1.0" encoding="utf-8"?>
<Properties xmlns="http://schemas.openxmlformats.org/officeDocument/2006/custom-properties" xmlns:vt="http://schemas.openxmlformats.org/officeDocument/2006/docPropsVTypes"/>
</file>