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Digital Technology Adoption Policy and Process</w:t>
      </w:r>
    </w:p>
    <w:p>
      <w:pPr>
        <w:spacing w:after="600"/>
      </w:pPr>
      <w:r>
        <w:rPr>
          <w:rFonts w:ascii="Arial" w:cs="Arial" w:eastAsia="Arial" w:hAnsi="Arial"/>
          <w:color w:val="475467"/>
          <w:sz w:val="24"/>
          <w:szCs w:val="24"/>
        </w:rPr>
        <w:t xml:space="preserve">How new digital technologies — mobile apps, web portals, cloud, APIs, AI — are identified, assessed, approved and implemented</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Digital Technology Adoption Policy and Process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AAML-IT-POL-02</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Head of IT</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 on recommendation of the IT Strategy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w:t>
      </w:r>
    </w:p>
    <w:p>
      <w:pPr>
        <w:spacing w:after="80"/>
      </w:pPr>
      <w:r>
        <w:rPr>
          <w:rFonts w:ascii="Arial" w:cs="Arial" w:eastAsia="Arial" w:hAnsi="Arial"/>
          <w:sz w:val="21"/>
          <w:szCs w:val="21"/>
        </w:rPr>
        <w:t xml:space="preserve">2. Scope</w:t>
      </w:r>
    </w:p>
    <w:p>
      <w:pPr>
        <w:spacing w:after="80"/>
      </w:pPr>
      <w:r>
        <w:rPr>
          <w:rFonts w:ascii="Arial" w:cs="Arial" w:eastAsia="Arial" w:hAnsi="Arial"/>
          <w:sz w:val="21"/>
          <w:szCs w:val="21"/>
        </w:rPr>
        <w:t xml:space="preserve">3. Identification</w:t>
      </w:r>
    </w:p>
    <w:p>
      <w:pPr>
        <w:spacing w:after="80"/>
      </w:pPr>
      <w:r>
        <w:rPr>
          <w:rFonts w:ascii="Arial" w:cs="Arial" w:eastAsia="Arial" w:hAnsi="Arial"/>
          <w:sz w:val="21"/>
          <w:szCs w:val="21"/>
        </w:rPr>
        <w:t xml:space="preserve">4. Assessment before approval</w:t>
      </w:r>
    </w:p>
    <w:p>
      <w:pPr>
        <w:spacing w:after="80"/>
      </w:pPr>
      <w:r>
        <w:rPr>
          <w:rFonts w:ascii="Arial" w:cs="Arial" w:eastAsia="Arial" w:hAnsi="Arial"/>
          <w:sz w:val="21"/>
          <w:szCs w:val="21"/>
        </w:rPr>
        <w:t xml:space="preserve">5. Approval</w:t>
      </w:r>
    </w:p>
    <w:p>
      <w:pPr>
        <w:spacing w:after="80"/>
      </w:pPr>
      <w:r>
        <w:rPr>
          <w:rFonts w:ascii="Arial" w:cs="Arial" w:eastAsia="Arial" w:hAnsi="Arial"/>
          <w:sz w:val="21"/>
          <w:szCs w:val="21"/>
        </w:rPr>
        <w:t xml:space="preserve">6. Development and implementation</w:t>
      </w:r>
    </w:p>
    <w:p>
      <w:pPr>
        <w:spacing w:after="80"/>
      </w:pPr>
      <w:r>
        <w:rPr>
          <w:rFonts w:ascii="Arial" w:cs="Arial" w:eastAsia="Arial" w:hAnsi="Arial"/>
          <w:sz w:val="21"/>
          <w:szCs w:val="21"/>
        </w:rPr>
        <w:t xml:space="preserve">7. Artificial intelligence and automation</w:t>
      </w:r>
    </w:p>
    <w:p>
      <w:pPr>
        <w:spacing w:after="80"/>
      </w:pPr>
      <w:r>
        <w:rPr>
          <w:rFonts w:ascii="Arial" w:cs="Arial" w:eastAsia="Arial" w:hAnsi="Arial"/>
          <w:sz w:val="21"/>
          <w:szCs w:val="21"/>
        </w:rPr>
        <w:t xml:space="preserve">References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w:t>
      </w:r>
    </w:p>
    <w:p>
      <w:pPr>
        <w:spacing w:after="120" w:line="276"/>
      </w:pPr>
      <w:r>
        <w:rPr>
          <w:rFonts w:ascii="Arial" w:cs="Arial" w:eastAsia="Arial" w:hAnsi="Arial"/>
        </w:rPr>
        <w:t xml:space="preserve">To make sure every new digital technology adopted by the Company (investor portals, mobile apps, APIs, cloud services, automation, analytics and AI tools) is aligned with business strategy and introduced only after risk assessment, security testing and approval.</w:t>
      </w:r>
    </w:p>
    <w:p>
      <w:pPr>
        <w:pStyle w:val="Heading1"/>
        <w:spacing w:after="120" w:before="280"/>
      </w:pPr>
      <w:r>
        <w:rPr>
          <w:rFonts w:ascii="Arial" w:cs="Arial" w:eastAsia="Arial" w:hAnsi="Arial"/>
        </w:rPr>
        <w:t xml:space="preserve">2. Scope</w:t>
      </w:r>
    </w:p>
    <w:p>
      <w:pPr>
        <w:spacing w:after="120" w:line="276"/>
      </w:pPr>
      <w:r>
        <w:rPr>
          <w:rFonts w:ascii="Arial" w:cs="Arial" w:eastAsia="Arial" w:hAnsi="Arial"/>
        </w:rPr>
        <w:t xml:space="preserve">Any new or significantly changed digital channel or technology, whether built in-house, by a vendor (including investor platforms run by service providers under the Company's name) or bought as SaaS.</w:t>
      </w:r>
    </w:p>
    <w:p>
      <w:pPr>
        <w:pStyle w:val="Heading1"/>
        <w:spacing w:after="120" w:before="280"/>
      </w:pPr>
      <w:r>
        <w:rPr>
          <w:rFonts w:ascii="Arial" w:cs="Arial" w:eastAsia="Arial" w:hAnsi="Arial"/>
        </w:rPr>
        <w:t xml:space="preserve">3. Identification</w:t>
      </w:r>
    </w:p>
    <w:p>
      <w:pPr>
        <w:pStyle w:val="ListParagraph"/>
        <w:numPr>
          <w:ilvl w:val="0"/>
          <w:numId w:val="2"/>
        </w:numPr>
        <w:spacing w:after="60" w:line="264"/>
      </w:pPr>
      <w:r>
        <w:rPr>
          <w:rFonts w:ascii="Arial" w:cs="Arial" w:eastAsia="Arial" w:hAnsi="Arial"/>
        </w:rPr>
        <w:t xml:space="preserve">Proposals come from business heads, IT or vendors and are recorded in the technology proposal register with the business need, users (investors, distributors, staff), data involved and expected benefits.</w:t>
      </w:r>
    </w:p>
    <w:p>
      <w:pPr>
        <w:pStyle w:val="ListParagraph"/>
        <w:numPr>
          <w:ilvl w:val="0"/>
          <w:numId w:val="2"/>
        </w:numPr>
        <w:spacing w:after="60" w:line="264"/>
      </w:pPr>
      <w:r>
        <w:rPr>
          <w:rFonts w:ascii="Arial" w:cs="Arial" w:eastAsia="Arial" w:hAnsi="Arial"/>
        </w:rPr>
        <w:t xml:space="preserve">The Technology Committee screens proposals quarterly against the IT strategy and prioritises them.</w:t>
      </w:r>
    </w:p>
    <w:p>
      <w:pPr>
        <w:pStyle w:val="Heading1"/>
        <w:spacing w:after="120" w:before="280"/>
      </w:pPr>
      <w:r>
        <w:rPr>
          <w:rFonts w:ascii="Arial" w:cs="Arial" w:eastAsia="Arial" w:hAnsi="Arial"/>
        </w:rPr>
        <w:t xml:space="preserve">4. Assessment before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Assessment</w:t>
            </w:r>
          </w:p>
        </w:tc>
        <w:tc>
          <w:tcPr>
            <w:tcW w:type="dxa" w:w="2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Done by</w:t>
            </w:r>
          </w:p>
        </w:tc>
        <w:tc>
          <w:tcPr>
            <w:tcW w:type="dxa" w:w="4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Content</w:t>
            </w:r>
          </w:p>
        </w:tc>
      </w:tr>
      <w:tr>
        <w:trPr>
          <w:tblHeader w:val="false"/>
        </w:trPr>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Business case</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Business owner</w:t>
            </w:r>
          </w:p>
        </w:tc>
        <w:tc>
          <w:tcPr>
            <w:tcW w:type="dxa" w:w="4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Need, cost, benefits, alternatives</w:t>
            </w:r>
          </w:p>
        </w:tc>
      </w:tr>
      <w:tr>
        <w:trPr>
          <w:tblHeader w:val="false"/>
        </w:trPr>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Risk assessment</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CISO with Risk</w:t>
            </w:r>
          </w:p>
        </w:tc>
        <w:tc>
          <w:tcPr>
            <w:tcW w:type="dxa" w:w="4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Cyber, operational, outsourcing, concentration and reputational risk; SEBI / CSCRF applicability</w:t>
            </w:r>
          </w:p>
        </w:tc>
      </w:tr>
      <w:tr>
        <w:trPr>
          <w:tblHeader w:val="false"/>
        </w:trPr>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protection impact</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Protection Officer</w:t>
            </w:r>
          </w:p>
        </w:tc>
        <w:tc>
          <w:tcPr>
            <w:tcW w:type="dxa" w:w="4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Personal data processed, consent, retention, cross-border transfer (DPDP Act)</w:t>
            </w:r>
          </w:p>
        </w:tc>
      </w:tr>
      <w:tr>
        <w:trPr>
          <w:tblHeader w:val="false"/>
        </w:trPr>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Architecture &amp; security review</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Head of IT / CISO</w:t>
            </w:r>
          </w:p>
        </w:tc>
        <w:tc>
          <w:tcPr>
            <w:tcW w:type="dxa" w:w="4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Integration, identity, encryption, logging, hosting, exit plan</w:t>
            </w:r>
          </w:p>
        </w:tc>
      </w:tr>
      <w:tr>
        <w:trPr>
          <w:tblHeader w:val="false"/>
        </w:trPr>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Vendor due diligence</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Procurement / CISO</w:t>
            </w:r>
          </w:p>
        </w:tc>
        <w:tc>
          <w:tcPr>
            <w:tcW w:type="dxa" w:w="4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 per Vendor Management Framework, including right to audit</w:t>
            </w:r>
          </w:p>
        </w:tc>
      </w:tr>
    </w:tbl>
    <w:p>
      <w:pPr>
        <w:spacing w:after="120" w:line="276"/>
      </w:pPr>
    </w:p>
    <w:p>
      <w:pPr>
        <w:spacing w:after="120" w:line="276"/>
      </w:pPr>
      <w:r>
        <w:rPr>
          <w:rFonts w:ascii="Arial" w:cs="Arial" w:eastAsia="Arial" w:hAnsi="Arial"/>
        </w:rPr>
        <w:t xml:space="preserve">Investor-facing channels (web, mobile, APIs) additionally require: secure coding, VAPT before go-live by a CERT-In empanelled auditor, closure of critical/high findings, and an approved user communication plan.</w:t>
      </w:r>
    </w:p>
    <w:p>
      <w:pPr>
        <w:pStyle w:val="Heading1"/>
        <w:spacing w:after="120" w:before="280"/>
      </w:pPr>
      <w:r>
        <w:rPr>
          <w:rFonts w:ascii="Arial" w:cs="Arial" w:eastAsia="Arial" w:hAnsi="Arial"/>
        </w:rPr>
        <w:t xml:space="preserve">5. Approval</w:t>
      </w:r>
    </w:p>
    <w:p>
      <w:pPr>
        <w:pStyle w:val="ListParagraph"/>
        <w:numPr>
          <w:ilvl w:val="0"/>
          <w:numId w:val="2"/>
        </w:numPr>
        <w:spacing w:after="60" w:line="264"/>
      </w:pPr>
      <w:r>
        <w:rPr>
          <w:rFonts w:ascii="Arial" w:cs="Arial" w:eastAsia="Arial" w:hAnsi="Arial"/>
        </w:rPr>
        <w:t xml:space="preserve">Technology Committee approval for all proposals; IT Strategy Committee approval for investor-facing channels, material outsourcing, AI used in investment or investor decisions, and any spend above the threshold in the delegation of authority.</w:t>
      </w:r>
    </w:p>
    <w:p>
      <w:pPr>
        <w:pStyle w:val="ListParagraph"/>
        <w:numPr>
          <w:ilvl w:val="0"/>
          <w:numId w:val="2"/>
        </w:numPr>
        <w:spacing w:after="60" w:line="264"/>
      </w:pPr>
      <w:r>
        <w:rPr>
          <w:rFonts w:ascii="Arial" w:cs="Arial" w:eastAsia="Arial" w:hAnsi="Arial"/>
        </w:rPr>
        <w:t xml:space="preserve">Approval conditions (for example, findings to be closed) are tracked to closure.</w:t>
      </w:r>
    </w:p>
    <w:p>
      <w:pPr>
        <w:pStyle w:val="Heading1"/>
        <w:spacing w:after="120" w:before="280"/>
      </w:pPr>
      <w:r>
        <w:rPr>
          <w:rFonts w:ascii="Arial" w:cs="Arial" w:eastAsia="Arial" w:hAnsi="Arial"/>
        </w:rPr>
        <w:t xml:space="preserve">6. Development and implementation</w:t>
      </w:r>
    </w:p>
    <w:p>
      <w:pPr>
        <w:pStyle w:val="ListParagraph"/>
        <w:numPr>
          <w:ilvl w:val="0"/>
          <w:numId w:val="2"/>
        </w:numPr>
        <w:spacing w:after="60" w:line="264"/>
      </w:pPr>
      <w:r>
        <w:rPr>
          <w:rFonts w:ascii="Arial" w:cs="Arial" w:eastAsia="Arial" w:hAnsi="Arial"/>
        </w:rPr>
        <w:t xml:space="preserve">Projects follow the change management process in the IT Policy, with separate development, test and production environments.</w:t>
      </w:r>
    </w:p>
    <w:p>
      <w:pPr>
        <w:pStyle w:val="ListParagraph"/>
        <w:numPr>
          <w:ilvl w:val="0"/>
          <w:numId w:val="2"/>
        </w:numPr>
        <w:spacing w:after="60" w:line="264"/>
      </w:pPr>
      <w:r>
        <w:rPr>
          <w:rFonts w:ascii="Arial" w:cs="Arial" w:eastAsia="Arial" w:hAnsi="Arial"/>
        </w:rPr>
        <w:t xml:space="preserve">Security requirements are defined at design; code review and testing (functional, performance, security) are documented; users sign off UAT.</w:t>
      </w:r>
    </w:p>
    <w:p>
      <w:pPr>
        <w:pStyle w:val="ListParagraph"/>
        <w:numPr>
          <w:ilvl w:val="0"/>
          <w:numId w:val="2"/>
        </w:numPr>
        <w:spacing w:after="60" w:line="264"/>
      </w:pPr>
      <w:r>
        <w:rPr>
          <w:rFonts w:ascii="Arial" w:cs="Arial" w:eastAsia="Arial" w:hAnsi="Arial"/>
        </w:rPr>
        <w:t xml:space="preserve">Go-live requires a readiness checklist: VAPT closure, backup and DR set-up, monitoring, support model, documentation and training.</w:t>
      </w:r>
    </w:p>
    <w:p>
      <w:pPr>
        <w:pStyle w:val="ListParagraph"/>
        <w:numPr>
          <w:ilvl w:val="0"/>
          <w:numId w:val="2"/>
        </w:numPr>
        <w:spacing w:after="60" w:line="264"/>
      </w:pPr>
      <w:r>
        <w:rPr>
          <w:rFonts w:ascii="Arial" w:cs="Arial" w:eastAsia="Arial" w:hAnsi="Arial"/>
        </w:rPr>
        <w:t xml:space="preserve">A post-implementation review within 90 days checks benefits, incidents and risks; findings go to the Technology Committee.</w:t>
      </w:r>
    </w:p>
    <w:p>
      <w:pPr>
        <w:pStyle w:val="ListParagraph"/>
        <w:numPr>
          <w:ilvl w:val="0"/>
          <w:numId w:val="2"/>
        </w:numPr>
        <w:spacing w:after="60" w:line="264"/>
      </w:pPr>
      <w:r>
        <w:rPr>
          <w:rFonts w:ascii="Arial" w:cs="Arial" w:eastAsia="Arial" w:hAnsi="Arial"/>
        </w:rPr>
        <w:t xml:space="preserve">Digital channels are re-tested (VAPT) at least once a year and after major changes.</w:t>
      </w:r>
    </w:p>
    <w:p>
      <w:pPr>
        <w:pStyle w:val="Heading1"/>
        <w:spacing w:after="120" w:before="280"/>
      </w:pPr>
      <w:r>
        <w:rPr>
          <w:rFonts w:ascii="Arial" w:cs="Arial" w:eastAsia="Arial" w:hAnsi="Arial"/>
        </w:rPr>
        <w:t xml:space="preserve">7. Artificial intelligence and automation</w:t>
      </w:r>
    </w:p>
    <w:p>
      <w:pPr>
        <w:pStyle w:val="ListParagraph"/>
        <w:numPr>
          <w:ilvl w:val="0"/>
          <w:numId w:val="2"/>
        </w:numPr>
        <w:spacing w:after="60" w:line="264"/>
      </w:pPr>
      <w:r>
        <w:rPr>
          <w:rFonts w:ascii="Arial" w:cs="Arial" w:eastAsia="Arial" w:hAnsi="Arial"/>
        </w:rPr>
        <w:t xml:space="preserve">AI tools may be used only if approved; Company confidential or investor personal data must not be entered into public AI services.</w:t>
      </w:r>
    </w:p>
    <w:p>
      <w:pPr>
        <w:pStyle w:val="ListParagraph"/>
        <w:numPr>
          <w:ilvl w:val="0"/>
          <w:numId w:val="2"/>
        </w:numPr>
        <w:spacing w:after="60" w:line="264"/>
      </w:pPr>
      <w:r>
        <w:rPr>
          <w:rFonts w:ascii="Arial" w:cs="Arial" w:eastAsia="Arial" w:hAnsi="Arial"/>
        </w:rPr>
        <w:t xml:space="preserve">Use of AI or algorithms that affect investment decisions, investor communication or compliance is documented, tested for accuracy and bias, explainable and has a human accountable owner.</w:t>
      </w:r>
    </w:p>
    <w:p>
      <w:pPr>
        <w:pStyle w:val="Heading1"/>
        <w:spacing w:after="120" w:before="280"/>
      </w:pPr>
      <w:r>
        <w:rPr>
          <w:rFonts w:ascii="Arial" w:cs="Arial" w:eastAsia="Arial" w:hAnsi="Arial"/>
        </w:rPr>
        <w:t xml:space="preserve">References</w:t>
      </w:r>
    </w:p>
    <w:p>
      <w:pPr>
        <w:pStyle w:val="ListParagraph"/>
        <w:numPr>
          <w:ilvl w:val="0"/>
          <w:numId w:val="2"/>
        </w:numPr>
        <w:spacing w:after="60" w:line="264"/>
      </w:pPr>
      <w:r>
        <w:rPr>
          <w:rFonts w:ascii="Arial" w:cs="Arial" w:eastAsia="Arial" w:hAnsi="Arial"/>
        </w:rPr>
        <w:t xml:space="preserve">SEBI (Mutual Funds) Regulations, 1996 and the SEBI Master Circular for Mutual Funds, as amended from time to time, including the provisions on system audit, IT governance and technology committees</w:t>
      </w:r>
    </w:p>
    <w:p>
      <w:pPr>
        <w:pStyle w:val="ListParagraph"/>
        <w:numPr>
          <w:ilvl w:val="0"/>
          <w:numId w:val="2"/>
        </w:numPr>
        <w:spacing w:after="60" w:line="264"/>
      </w:pPr>
      <w:r>
        <w:rPr>
          <w:rFonts w:ascii="Arial" w:cs="Arial" w:eastAsia="Arial" w:hAnsi="Arial"/>
        </w:rPr>
        <w:t xml:space="preserve">SEBI Cybersecurity and Cyber Resilience Framework (CSCRF) for SEBI Regulated Entities, circular dated 20 August 2024, with its clarifications and amendments</w:t>
      </w:r>
    </w:p>
    <w:p>
      <w:pPr>
        <w:pStyle w:val="ListParagraph"/>
        <w:numPr>
          <w:ilvl w:val="0"/>
          <w:numId w:val="2"/>
        </w:numPr>
        <w:spacing w:after="60" w:line="264"/>
      </w:pPr>
      <w:r>
        <w:rPr>
          <w:rFonts w:ascii="Arial" w:cs="Arial" w:eastAsia="Arial" w:hAnsi="Arial"/>
        </w:rPr>
        <w:t xml:space="preserve">Information Technology Act, 2000 and the CERT-In Directions of 28 April 2022 (including 6-hour incident reporting and 180-day log retention)</w:t>
      </w:r>
    </w:p>
    <w:p>
      <w:pPr>
        <w:pStyle w:val="ListParagraph"/>
        <w:numPr>
          <w:ilvl w:val="0"/>
          <w:numId w:val="2"/>
        </w:numPr>
        <w:spacing w:after="60" w:line="264"/>
      </w:pPr>
      <w:r>
        <w:rPr>
          <w:rFonts w:ascii="Arial" w:cs="Arial" w:eastAsia="Arial" w:hAnsi="Arial"/>
        </w:rPr>
        <w:t xml:space="preserve">Digital Personal Data Protection Act, 2023 and the Digital Personal Data Protection Rules, 2025</w:t>
      </w:r>
    </w:p>
    <w:p>
      <w:pPr>
        <w:pStyle w:val="ListParagraph"/>
        <w:numPr>
          <w:ilvl w:val="0"/>
          <w:numId w:val="2"/>
        </w:numPr>
        <w:spacing w:after="60" w:line="264"/>
      </w:pPr>
      <w:r>
        <w:rPr>
          <w:rFonts w:ascii="Arial" w:cs="Arial" w:eastAsia="Arial" w:hAnsi="Arial"/>
        </w:rPr>
        <w:t xml:space="preserve">ISO/IEC 27001:2022 and ISO 22301:2019 (used as good-practice references, not for certification unless decided by the Board)</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Head of IT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2h</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Process to identify, develop and implement digital technologies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Sections 3–6</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Digital Technology Adoption Policy and Process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Technology Adoption Policy and Process</dc:title>
  <dc:creator>Ashika Asset Management Limited</dc:creator>
  <dc:description>Draft policy</dc:description>
  <cp:lastModifiedBy>Un-named</cp:lastModifiedBy>
  <cp:revision>1</cp:revision>
  <dcterms:created xsi:type="dcterms:W3CDTF">2026-10-29T16:44:47.100Z</dcterms:created>
  <dcterms:modified xsi:type="dcterms:W3CDTF">2026-10-29T16:44:47.100Z</dcterms:modified>
</cp:coreProperties>
</file>

<file path=docProps/custom.xml><?xml version="1.0" encoding="utf-8"?>
<Properties xmlns="http://schemas.openxmlformats.org/officeDocument/2006/custom-properties" xmlns:vt="http://schemas.openxmlformats.org/officeDocument/2006/docPropsVTypes"/>
</file>