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475467"/>
          <w:sz w:val="26"/>
          <w:szCs w:val="26"/>
        </w:rPr>
        <w:t xml:space="preserve">Ashika Asset Management Limited</w:t>
      </w:r>
    </w:p>
    <w:p>
      <w:pPr>
        <w:spacing w:after="160"/>
      </w:pPr>
      <w:r>
        <w:rPr>
          <w:rFonts w:ascii="Arial" w:cs="Arial" w:eastAsia="Arial" w:hAnsi="Arial"/>
          <w:b/>
          <w:bCs/>
          <w:color w:val="1F3864"/>
          <w:sz w:val="44"/>
          <w:szCs w:val="44"/>
        </w:rPr>
        <w:t xml:space="preserve">Business Continuity and Disaster Recovery Policy</w:t>
      </w:r>
    </w:p>
    <w:p>
      <w:pPr>
        <w:spacing w:after="600"/>
      </w:pPr>
      <w:r>
        <w:rPr>
          <w:rFonts w:ascii="Arial" w:cs="Arial" w:eastAsia="Arial" w:hAnsi="Arial"/>
          <w:color w:val="475467"/>
          <w:sz w:val="24"/>
          <w:szCs w:val="24"/>
        </w:rPr>
        <w:t xml:space="preserve">Continuity of mutual fund operations and recovery of IT systems, people and service providers</w:t>
      </w:r>
    </w:p>
    <w:p>
      <w:pPr>
        <w:spacing w:after="200"/>
      </w:pPr>
      <w:r>
        <w:rPr>
          <w:rFonts w:ascii="Arial" w:cs="Arial" w:eastAsia="Arial" w:hAnsi="Arial"/>
          <w:i/>
          <w:iCs/>
          <w:color w:val="B54708"/>
          <w:sz w:val="20"/>
          <w:szCs w:val="20"/>
        </w:rPr>
        <w:t xml:space="preserve">DRAFT — for review by the IT Strategy Committee and approval by the Board. Text in [●] is to be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Item</w:t>
            </w:r>
          </w:p>
        </w:tc>
        <w:tc>
          <w:tcPr>
            <w:tcW w:type="dxa" w:w="64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Details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Business Continuity and Disaster Recovery Policy</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Document ID</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AAML-IT-POL-03</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Version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 — DRAFT for review</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Classification</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Internal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Owner</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Head of IT (with the Chief Operating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Chief Information Security Officer (CISO); Compliance Officer</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 by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Board of Directors, on recommendation of the IT Strategy Committee and Risk Management Committee</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Effective date</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 (date of Board approval)</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Review frequency</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At least once a year, and on any significant change in regulation, technology or business</w:t>
            </w:r>
          </w:p>
        </w:tc>
      </w:tr>
      <w:tr>
        <w:trPr>
          <w:tblHeader w:val="false"/>
        </w:trPr>
        <w:tc>
          <w:tcPr>
            <w:tcW w:type="dxa" w:w="2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Applies to</w:t>
            </w:r>
          </w:p>
        </w:tc>
        <w:tc>
          <w:tcPr>
            <w:tcW w:type="dxa" w:w="64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Ashika Asset Management Limited (the "Company" / "AMC") and, where stated, its service providers</w:t>
            </w:r>
          </w:p>
        </w:tc>
      </w:tr>
    </w:tbl>
    <w:p>
      <w:pPr>
        <w:spacing w:after="120" w:line="276"/>
      </w:pPr>
    </w:p>
    <w:p>
      <w:pPr>
        <w:pStyle w:val="Heading2"/>
        <w:spacing w:after="100" w:before="200"/>
      </w:pPr>
      <w:r>
        <w:rPr>
          <w:rFonts w:ascii="Arial" w:cs="Arial" w:eastAsia="Arial" w:hAnsi="Arial"/>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3826"/>
        <w:gridCol w:w="2500"/>
      </w:tblGrid>
      <w:tr>
        <w:trPr>
          <w:tblHeader/>
        </w:trPr>
        <w:tc>
          <w:tcPr>
            <w:tcW w:type="dxa" w:w="11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Version</w:t>
            </w:r>
          </w:p>
        </w:tc>
        <w:tc>
          <w:tcPr>
            <w:tcW w:type="dxa" w:w="16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Date</w:t>
            </w:r>
          </w:p>
        </w:tc>
        <w:tc>
          <w:tcPr>
            <w:tcW w:type="dxa" w:w="38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Change</w:t>
            </w:r>
          </w:p>
        </w:tc>
        <w:tc>
          <w:tcPr>
            <w:tcW w:type="dxa" w:w="2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Author / Approver</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0.1</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First draft for review</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11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1.0</w:t>
            </w:r>
          </w:p>
        </w:tc>
        <w:tc>
          <w:tcPr>
            <w:tcW w:type="dxa" w:w="16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c>
          <w:tcPr>
            <w:tcW w:type="dxa" w:w="38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Approved</w:t>
            </w:r>
          </w:p>
        </w:tc>
        <w:tc>
          <w:tcPr>
            <w:tcW w:type="dxa" w:w="2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bl>
    <w:p>
      <w:r>
        <w:br w:type="page"/>
      </w:r>
    </w:p>
    <w:p>
      <w:pPr>
        <w:spacing w:after="120"/>
      </w:pPr>
      <w:r>
        <w:rPr>
          <w:rFonts w:ascii="Arial" w:cs="Arial" w:eastAsia="Arial" w:hAnsi="Arial"/>
          <w:b/>
          <w:bCs/>
          <w:color w:val="1F3864"/>
          <w:sz w:val="28"/>
          <w:szCs w:val="28"/>
        </w:rPr>
        <w:t xml:space="preserve">Contents</w:t>
      </w:r>
    </w:p>
    <w:p>
      <w:pPr>
        <w:spacing w:after="80"/>
      </w:pPr>
      <w:r>
        <w:rPr>
          <w:rFonts w:ascii="Arial" w:cs="Arial" w:eastAsia="Arial" w:hAnsi="Arial"/>
          <w:sz w:val="21"/>
          <w:szCs w:val="21"/>
        </w:rPr>
        <w:t xml:space="preserve">1. Purpose</w:t>
      </w:r>
    </w:p>
    <w:p>
      <w:pPr>
        <w:spacing w:after="80"/>
      </w:pPr>
      <w:r>
        <w:rPr>
          <w:rFonts w:ascii="Arial" w:cs="Arial" w:eastAsia="Arial" w:hAnsi="Arial"/>
          <w:sz w:val="21"/>
          <w:szCs w:val="21"/>
        </w:rPr>
        <w:t xml:space="preserve">2. Scope</w:t>
      </w:r>
    </w:p>
    <w:p>
      <w:pPr>
        <w:spacing w:after="80"/>
      </w:pPr>
      <w:r>
        <w:rPr>
          <w:rFonts w:ascii="Arial" w:cs="Arial" w:eastAsia="Arial" w:hAnsi="Arial"/>
          <w:sz w:val="21"/>
          <w:szCs w:val="21"/>
        </w:rPr>
        <w:t xml:space="preserve">3. Business impact analysis</w:t>
      </w:r>
    </w:p>
    <w:p>
      <w:pPr>
        <w:spacing w:after="80"/>
      </w:pPr>
      <w:r>
        <w:rPr>
          <w:rFonts w:ascii="Arial" w:cs="Arial" w:eastAsia="Arial" w:hAnsi="Arial"/>
          <w:sz w:val="21"/>
          <w:szCs w:val="21"/>
        </w:rPr>
        <w:t xml:space="preserve">4. Risk assessment</w:t>
      </w:r>
    </w:p>
    <w:p>
      <w:pPr>
        <w:spacing w:after="80"/>
      </w:pPr>
      <w:r>
        <w:rPr>
          <w:rFonts w:ascii="Arial" w:cs="Arial" w:eastAsia="Arial" w:hAnsi="Arial"/>
          <w:sz w:val="21"/>
          <w:szCs w:val="21"/>
        </w:rPr>
        <w:t xml:space="preserve">5. Continuity strategy</w:t>
      </w:r>
    </w:p>
    <w:p>
      <w:pPr>
        <w:spacing w:after="80"/>
      </w:pPr>
      <w:r>
        <w:rPr>
          <w:rFonts w:ascii="Arial" w:cs="Arial" w:eastAsia="Arial" w:hAnsi="Arial"/>
          <w:sz w:val="21"/>
          <w:szCs w:val="21"/>
        </w:rPr>
        <w:t xml:space="preserve">6. Plans</w:t>
      </w:r>
    </w:p>
    <w:p>
      <w:pPr>
        <w:spacing w:after="80"/>
      </w:pPr>
      <w:r>
        <w:rPr>
          <w:rFonts w:ascii="Arial" w:cs="Arial" w:eastAsia="Arial" w:hAnsi="Arial"/>
          <w:sz w:val="21"/>
          <w:szCs w:val="21"/>
        </w:rPr>
        <w:t xml:space="preserve">7. Testing</w:t>
      </w:r>
    </w:p>
    <w:p>
      <w:pPr>
        <w:spacing w:after="80"/>
      </w:pPr>
      <w:r>
        <w:rPr>
          <w:rFonts w:ascii="Arial" w:cs="Arial" w:eastAsia="Arial" w:hAnsi="Arial"/>
          <w:sz w:val="21"/>
          <w:szCs w:val="21"/>
        </w:rPr>
        <w:t xml:space="preserve">8. Training and awareness</w:t>
      </w:r>
    </w:p>
    <w:p>
      <w:pPr>
        <w:spacing w:after="80"/>
      </w:pPr>
      <w:r>
        <w:rPr>
          <w:rFonts w:ascii="Arial" w:cs="Arial" w:eastAsia="Arial" w:hAnsi="Arial"/>
          <w:sz w:val="21"/>
          <w:szCs w:val="21"/>
        </w:rPr>
        <w:t xml:space="preserve">References</w:t>
      </w:r>
    </w:p>
    <w:p>
      <w:pPr>
        <w:spacing w:after="80"/>
      </w:pPr>
      <w:r>
        <w:rPr>
          <w:rFonts w:ascii="Arial" w:cs="Arial" w:eastAsia="Arial" w:hAnsi="Arial"/>
          <w:sz w:val="21"/>
          <w:szCs w:val="21"/>
        </w:rPr>
        <w:t xml:space="preserve">Compliance, monitoring and exceptions</w:t>
      </w:r>
    </w:p>
    <w:p>
      <w:pPr>
        <w:spacing w:after="80"/>
      </w:pPr>
      <w:r>
        <w:rPr>
          <w:rFonts w:ascii="Arial" w:cs="Arial" w:eastAsia="Arial" w:hAnsi="Arial"/>
          <w:sz w:val="21"/>
          <w:szCs w:val="21"/>
        </w:rPr>
        <w:t xml:space="preserve">Review</w:t>
      </w:r>
    </w:p>
    <w:p>
      <w:pPr>
        <w:spacing w:after="80"/>
      </w:pPr>
      <w:r>
        <w:rPr>
          <w:rFonts w:ascii="Arial" w:cs="Arial" w:eastAsia="Arial" w:hAnsi="Arial"/>
          <w:sz w:val="21"/>
          <w:szCs w:val="21"/>
        </w:rPr>
        <w:t xml:space="preserve">Annexure — Mapping to the SEBI system audit checklist</w:t>
      </w:r>
    </w:p>
    <w:p>
      <w:r>
        <w:br w:type="page"/>
      </w:r>
    </w:p>
    <w:p>
      <w:pPr>
        <w:pStyle w:val="Heading1"/>
        <w:spacing w:after="120" w:before="280"/>
      </w:pPr>
      <w:r>
        <w:rPr>
          <w:rFonts w:ascii="Arial" w:cs="Arial" w:eastAsia="Arial" w:hAnsi="Arial"/>
        </w:rPr>
        <w:t xml:space="preserve">1. Purpose</w:t>
      </w:r>
    </w:p>
    <w:p>
      <w:pPr>
        <w:spacing w:after="120" w:line="276"/>
      </w:pPr>
      <w:r>
        <w:rPr>
          <w:rFonts w:ascii="Arial" w:cs="Arial" w:eastAsia="Arial" w:hAnsi="Arial"/>
        </w:rPr>
        <w:t xml:space="preserve">To ensure the Company can continue critical mutual fund operations — NAV computation and publication, subscriptions and redemptions, investor servicing, trading and settlement, regulatory reporting — during and after a disruption, and recover IT systems within agreed times.</w:t>
      </w:r>
    </w:p>
    <w:p>
      <w:pPr>
        <w:pStyle w:val="Heading1"/>
        <w:spacing w:after="120" w:before="280"/>
      </w:pPr>
      <w:r>
        <w:rPr>
          <w:rFonts w:ascii="Arial" w:cs="Arial" w:eastAsia="Arial" w:hAnsi="Arial"/>
        </w:rPr>
        <w:t xml:space="preserve">2. Scope</w:t>
      </w:r>
    </w:p>
    <w:p>
      <w:pPr>
        <w:spacing w:after="120" w:line="276"/>
      </w:pPr>
      <w:r>
        <w:rPr>
          <w:rFonts w:ascii="Arial" w:cs="Arial" w:eastAsia="Arial" w:hAnsi="Arial"/>
        </w:rPr>
        <w:t xml:space="preserve">People, premises, technology and critical service providers.</w:t>
      </w:r>
    </w:p>
    <w:p>
      <w:pPr>
        <w:pStyle w:val="Heading1"/>
        <w:spacing w:after="120" w:before="280"/>
      </w:pPr>
      <w:r>
        <w:rPr>
          <w:rFonts w:ascii="Arial" w:cs="Arial" w:eastAsia="Arial" w:hAnsi="Arial"/>
        </w:rPr>
        <w:t xml:space="preserve">3. Business impact analysis</w:t>
      </w:r>
    </w:p>
    <w:p>
      <w:pPr>
        <w:spacing w:after="120" w:line="276"/>
      </w:pPr>
      <w:r>
        <w:rPr>
          <w:rFonts w:ascii="Arial" w:cs="Arial" w:eastAsia="Arial" w:hAnsi="Arial"/>
        </w:rPr>
        <w:t xml:space="preserve">A business impact analysis (BIA) is done at least once a year and after significant change. It identifies critical processes, their dependencies and the maximum tolerable downtime. Initial objectives (to be confirmed by the BIA):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Process / system</w:t>
            </w:r>
          </w:p>
        </w:tc>
        <w:tc>
          <w:tcPr>
            <w:tcW w:type="dxa" w:w="22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RTO</w:t>
            </w:r>
          </w:p>
        </w:tc>
        <w:tc>
          <w:tcPr>
            <w:tcW w:type="dxa" w:w="22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RPO</w:t>
            </w:r>
          </w:p>
        </w:tc>
      </w:tr>
      <w:tr>
        <w:trPr>
          <w:tblHeader w:val="false"/>
        </w:trPr>
        <w:tc>
          <w:tcPr>
            <w:tcW w:type="dxa" w:w="4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Tier 1 — critical applications</w:t>
            </w:r>
          </w:p>
        </w:tc>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 hours</w:t>
            </w:r>
          </w:p>
        </w:tc>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15 minutes</w:t>
            </w:r>
          </w:p>
        </w:tc>
      </w:tr>
      <w:tr>
        <w:trPr>
          <w:tblHeader w:val="false"/>
        </w:trPr>
        <w:tc>
          <w:tcPr>
            <w:tcW w:type="dxa" w:w="4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Tier 2 — important applications</w:t>
            </w:r>
          </w:p>
        </w:tc>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4 hours</w:t>
            </w:r>
          </w:p>
        </w:tc>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1 hour</w:t>
            </w:r>
          </w:p>
        </w:tc>
      </w:tr>
      <w:tr>
        <w:trPr>
          <w:tblHeader w:val="false"/>
        </w:trPr>
        <w:tc>
          <w:tcPr>
            <w:tcW w:type="dxa" w:w="4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NAV computation and publication</w:t>
            </w:r>
          </w:p>
        </w:tc>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Within regulatory cut-off on the same day</w:t>
            </w:r>
          </w:p>
        </w:tc>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w:t>
            </w:r>
          </w:p>
        </w:tc>
      </w:tr>
      <w:tr>
        <w:trPr>
          <w:tblHeader w:val="false"/>
        </w:trPr>
        <w:tc>
          <w:tcPr>
            <w:tcW w:type="dxa" w:w="4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Tier 3 — other applications</w:t>
            </w:r>
          </w:p>
        </w:tc>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24 hours</w:t>
            </w:r>
          </w:p>
        </w:tc>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24 hours</w:t>
            </w:r>
          </w:p>
        </w:tc>
      </w:tr>
      <w:tr>
        <w:trPr>
          <w:tblHeader w:val="false"/>
        </w:trPr>
        <w:tc>
          <w:tcPr>
            <w:tcW w:type="dxa" w:w="46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Services run by service providers</w:t>
            </w:r>
          </w:p>
        </w:tc>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 agreed in the contract, not longer than the tier of the process supported</w:t>
            </w:r>
          </w:p>
        </w:tc>
        <w:tc>
          <w:tcPr>
            <w:tcW w:type="dxa" w:w="22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As agreed in the contract</w:t>
            </w:r>
          </w:p>
        </w:tc>
      </w:tr>
    </w:tbl>
    <w:p>
      <w:pPr>
        <w:spacing w:after="120" w:line="276"/>
      </w:pPr>
    </w:p>
    <w:p>
      <w:pPr>
        <w:pBdr>
          <w:left w:val="single" w:color="F59E0B" w:sz="12" w:space="6"/>
        </w:pBdr>
        <w:shd w:fill="FFF8E1" w:color="auto" w:val="clear"/>
        <w:spacing w:after="120"/>
      </w:pPr>
      <w:r>
        <w:rPr>
          <w:rFonts w:ascii="Arial" w:cs="Arial" w:eastAsia="Arial" w:hAnsi="Arial"/>
          <w:i/>
          <w:iCs/>
          <w:sz w:val="19"/>
          <w:szCs w:val="19"/>
        </w:rPr>
        <w:t xml:space="preserve">SEBI and CSCRF expectations for critical systems must be checked against these numbers once the BIA is complete.</w:t>
      </w:r>
    </w:p>
    <w:p>
      <w:pPr>
        <w:pStyle w:val="Heading1"/>
        <w:spacing w:after="120" w:before="280"/>
      </w:pPr>
      <w:r>
        <w:rPr>
          <w:rFonts w:ascii="Arial" w:cs="Arial" w:eastAsia="Arial" w:hAnsi="Arial"/>
        </w:rPr>
        <w:t xml:space="preserve">4. Risk assessment</w:t>
      </w:r>
    </w:p>
    <w:p>
      <w:pPr>
        <w:spacing w:after="120" w:line="276"/>
      </w:pPr>
      <w:r>
        <w:rPr>
          <w:rFonts w:ascii="Arial" w:cs="Arial" w:eastAsia="Arial" w:hAnsi="Arial"/>
        </w:rPr>
        <w:t xml:space="preserve">Threats considered include cyber-attack (ransomware), cloud region outage, vendor failure, loss of premises, pandemic / non-availability of staff, power and telecom failure, natural disasters. Risks and mitigations are recorded in the risk register.</w:t>
      </w:r>
    </w:p>
    <w:p>
      <w:pPr>
        <w:pStyle w:val="Heading1"/>
        <w:spacing w:after="120" w:before="280"/>
      </w:pPr>
      <w:r>
        <w:rPr>
          <w:rFonts w:ascii="Arial" w:cs="Arial" w:eastAsia="Arial" w:hAnsi="Arial"/>
        </w:rPr>
        <w:t xml:space="preserve">5. Continuity strategy</w:t>
      </w:r>
    </w:p>
    <w:p>
      <w:pPr>
        <w:pStyle w:val="ListParagraph"/>
        <w:numPr>
          <w:ilvl w:val="0"/>
          <w:numId w:val="2"/>
        </w:numPr>
        <w:spacing w:after="60" w:line="264"/>
      </w:pPr>
      <w:r>
        <w:rPr>
          <w:rFonts w:ascii="Arial" w:cs="Arial" w:eastAsia="Arial" w:hAnsi="Arial"/>
          <w:b/>
          <w:bCs/>
        </w:rPr>
        <w:t xml:space="preserve">Technology:</w:t>
      </w:r>
      <w:r>
        <w:rPr>
          <w:rFonts w:ascii="Arial" w:cs="Arial" w:eastAsia="Arial" w:hAnsi="Arial"/>
        </w:rPr>
        <w:t xml:space="preserve"> Tier 1 applications replicated to a secondary site or cloud region with documented failover; collaboration services backed up independently; remote access to critical systems from alternate locations.</w:t>
      </w:r>
    </w:p>
    <w:p>
      <w:pPr>
        <w:pStyle w:val="ListParagraph"/>
        <w:numPr>
          <w:ilvl w:val="0"/>
          <w:numId w:val="2"/>
        </w:numPr>
        <w:spacing w:after="60" w:line="264"/>
      </w:pPr>
      <w:r>
        <w:rPr>
          <w:rFonts w:ascii="Arial" w:cs="Arial" w:eastAsia="Arial" w:hAnsi="Arial"/>
          <w:b/>
          <w:bCs/>
        </w:rPr>
        <w:t xml:space="preserve">People:</w:t>
      </w:r>
      <w:r>
        <w:rPr>
          <w:rFonts w:ascii="Arial" w:cs="Arial" w:eastAsia="Arial" w:hAnsi="Arial"/>
        </w:rPr>
        <w:t xml:space="preserve"> critical roles have trained alternates; staff can work remotely on Company devices with MFA.</w:t>
      </w:r>
    </w:p>
    <w:p>
      <w:pPr>
        <w:pStyle w:val="ListParagraph"/>
        <w:numPr>
          <w:ilvl w:val="0"/>
          <w:numId w:val="2"/>
        </w:numPr>
        <w:spacing w:after="60" w:line="264"/>
      </w:pPr>
      <w:r>
        <w:rPr>
          <w:rFonts w:ascii="Arial" w:cs="Arial" w:eastAsia="Arial" w:hAnsi="Arial"/>
          <w:b/>
          <w:bCs/>
        </w:rPr>
        <w:t xml:space="preserve">Premises:</w:t>
      </w:r>
      <w:r>
        <w:rPr>
          <w:rFonts w:ascii="Arial" w:cs="Arial" w:eastAsia="Arial" w:hAnsi="Arial"/>
        </w:rPr>
        <w:t xml:space="preserve"> alternate work location / work-from-home arrangement documented.</w:t>
      </w:r>
    </w:p>
    <w:p>
      <w:pPr>
        <w:pStyle w:val="ListParagraph"/>
        <w:numPr>
          <w:ilvl w:val="0"/>
          <w:numId w:val="2"/>
        </w:numPr>
        <w:spacing w:after="60" w:line="264"/>
      </w:pPr>
      <w:r>
        <w:rPr>
          <w:rFonts w:ascii="Arial" w:cs="Arial" w:eastAsia="Arial" w:hAnsi="Arial"/>
          <w:b/>
          <w:bCs/>
        </w:rPr>
        <w:t xml:space="preserve">Service providers:</w:t>
      </w:r>
      <w:r>
        <w:rPr>
          <w:rFonts w:ascii="Arial" w:cs="Arial" w:eastAsia="Arial" w:hAnsi="Arial"/>
        </w:rPr>
        <w:t xml:space="preserve"> BCP/DR plans of critical service providers obtained and reviewed every year; contracts include BCP obligations, RTO/RPO and participation in joint drills.</w:t>
      </w:r>
    </w:p>
    <w:p>
      <w:pPr>
        <w:pStyle w:val="ListParagraph"/>
        <w:numPr>
          <w:ilvl w:val="0"/>
          <w:numId w:val="2"/>
        </w:numPr>
        <w:spacing w:after="60" w:line="264"/>
      </w:pPr>
      <w:r>
        <w:rPr>
          <w:rFonts w:ascii="Arial" w:cs="Arial" w:eastAsia="Arial" w:hAnsi="Arial"/>
          <w:b/>
          <w:bCs/>
        </w:rPr>
        <w:t xml:space="preserve">Cyber resilience:</w:t>
      </w:r>
      <w:r>
        <w:rPr>
          <w:rFonts w:ascii="Arial" w:cs="Arial" w:eastAsia="Arial" w:hAnsi="Arial"/>
        </w:rPr>
        <w:t xml:space="preserve"> immutable backups, ransomware playbook, ability to rebuild from clean images.</w:t>
      </w:r>
    </w:p>
    <w:p>
      <w:pPr>
        <w:pStyle w:val="Heading1"/>
        <w:spacing w:after="120" w:before="280"/>
      </w:pPr>
      <w:r>
        <w:rPr>
          <w:rFonts w:ascii="Arial" w:cs="Arial" w:eastAsia="Arial" w:hAnsi="Arial"/>
        </w:rPr>
        <w:t xml:space="preserve">6. Plans</w:t>
      </w:r>
    </w:p>
    <w:p>
      <w:pPr>
        <w:pStyle w:val="ListParagraph"/>
        <w:numPr>
          <w:ilvl w:val="0"/>
          <w:numId w:val="2"/>
        </w:numPr>
        <w:spacing w:after="60" w:line="264"/>
      </w:pPr>
      <w:r>
        <w:rPr>
          <w:rFonts w:ascii="Arial" w:cs="Arial" w:eastAsia="Arial" w:hAnsi="Arial"/>
        </w:rPr>
        <w:t xml:space="preserve">A Business Continuity Plan per critical process and an IT Disaster Recovery Plan per critical system, with step-by-step recovery, contact lists, decision authority and communication (staff, investors, distributors, SEBI, AMFI, trustees).</w:t>
      </w:r>
    </w:p>
    <w:p>
      <w:pPr>
        <w:pStyle w:val="ListParagraph"/>
        <w:numPr>
          <w:ilvl w:val="0"/>
          <w:numId w:val="2"/>
        </w:numPr>
        <w:spacing w:after="60" w:line="264"/>
      </w:pPr>
      <w:r>
        <w:rPr>
          <w:rFonts w:ascii="Arial" w:cs="Arial" w:eastAsia="Arial" w:hAnsi="Arial"/>
        </w:rPr>
        <w:t xml:space="preserve">Crisis Management Team: CEO (chair), COO, Head of IT, CISO, Compliance Officer, Fund Manager representative. It declares a disaster and invokes the plans.</w:t>
      </w:r>
    </w:p>
    <w:p>
      <w:pPr>
        <w:pStyle w:val="ListParagraph"/>
        <w:numPr>
          <w:ilvl w:val="0"/>
          <w:numId w:val="2"/>
        </w:numPr>
        <w:spacing w:after="60" w:line="264"/>
      </w:pPr>
      <w:r>
        <w:rPr>
          <w:rFonts w:ascii="Arial" w:cs="Arial" w:eastAsia="Arial" w:hAnsi="Arial"/>
        </w:rPr>
        <w:t xml:space="preserve">Plans are stored where they are available during an outage (offline copy and an online copy with offline sync).</w:t>
      </w:r>
    </w:p>
    <w:p>
      <w:pPr>
        <w:pStyle w:val="Heading1"/>
        <w:spacing w:after="120" w:before="280"/>
      </w:pPr>
      <w:r>
        <w:rPr>
          <w:rFonts w:ascii="Arial" w:cs="Arial" w:eastAsia="Arial" w:hAnsi="Arial"/>
        </w:rPr>
        <w:t xml:space="preserve">7. Testing</w:t>
      </w:r>
    </w:p>
    <w:p>
      <w:pPr>
        <w:pStyle w:val="ListParagraph"/>
        <w:numPr>
          <w:ilvl w:val="0"/>
          <w:numId w:val="2"/>
        </w:numPr>
        <w:spacing w:after="60" w:line="264"/>
      </w:pPr>
      <w:r>
        <w:rPr>
          <w:rFonts w:ascii="Arial" w:cs="Arial" w:eastAsia="Arial" w:hAnsi="Arial"/>
        </w:rPr>
        <w:t xml:space="preserve">DR drill for critical systems at least every six months, including switch-over to the secondary site and running live operations from it where feasible; results, issues and actual RTO/RPO recorded.</w:t>
      </w:r>
    </w:p>
    <w:p>
      <w:pPr>
        <w:pStyle w:val="ListParagraph"/>
        <w:numPr>
          <w:ilvl w:val="0"/>
          <w:numId w:val="2"/>
        </w:numPr>
        <w:spacing w:after="60" w:line="264"/>
      </w:pPr>
      <w:r>
        <w:rPr>
          <w:rFonts w:ascii="Arial" w:cs="Arial" w:eastAsia="Arial" w:hAnsi="Arial"/>
        </w:rPr>
        <w:t xml:space="preserve">BCP exercise (table-top or live) at least once a year, including a cyber scenario.</w:t>
      </w:r>
    </w:p>
    <w:p>
      <w:pPr>
        <w:pStyle w:val="ListParagraph"/>
        <w:numPr>
          <w:ilvl w:val="0"/>
          <w:numId w:val="2"/>
        </w:numPr>
        <w:spacing w:after="60" w:line="264"/>
      </w:pPr>
      <w:r>
        <w:rPr>
          <w:rFonts w:ascii="Arial" w:cs="Arial" w:eastAsia="Arial" w:hAnsi="Arial"/>
        </w:rPr>
        <w:t xml:space="preserve">Participation in drills of service providers and market infrastructure institutions when invited.</w:t>
      </w:r>
    </w:p>
    <w:p>
      <w:pPr>
        <w:pStyle w:val="ListParagraph"/>
        <w:numPr>
          <w:ilvl w:val="0"/>
          <w:numId w:val="2"/>
        </w:numPr>
        <w:spacing w:after="60" w:line="264"/>
      </w:pPr>
      <w:r>
        <w:rPr>
          <w:rFonts w:ascii="Arial" w:cs="Arial" w:eastAsia="Arial" w:hAnsi="Arial"/>
        </w:rPr>
        <w:t xml:space="preserve">Drill reports go to the IT Strategy Committee and the Board; gaps are tracked to closure.</w:t>
      </w:r>
    </w:p>
    <w:p>
      <w:pPr>
        <w:pStyle w:val="Heading1"/>
        <w:spacing w:after="120" w:before="280"/>
      </w:pPr>
      <w:r>
        <w:rPr>
          <w:rFonts w:ascii="Arial" w:cs="Arial" w:eastAsia="Arial" w:hAnsi="Arial"/>
        </w:rPr>
        <w:t xml:space="preserve">8. Training and awareness</w:t>
      </w:r>
    </w:p>
    <w:p>
      <w:pPr>
        <w:spacing w:after="120" w:line="276"/>
      </w:pPr>
      <w:r>
        <w:rPr>
          <w:rFonts w:ascii="Arial" w:cs="Arial" w:eastAsia="Arial" w:hAnsi="Arial"/>
        </w:rPr>
        <w:t xml:space="preserve">All staff receive BCP awareness on joining and every year; members of the crisis management and recovery teams receive role-specific training before each drill — see the BCP Training Procedure (AAML-IT-PRC-04).</w:t>
      </w:r>
    </w:p>
    <w:p>
      <w:pPr>
        <w:pStyle w:val="Heading1"/>
        <w:spacing w:after="120" w:before="280"/>
      </w:pPr>
      <w:r>
        <w:rPr>
          <w:rFonts w:ascii="Arial" w:cs="Arial" w:eastAsia="Arial" w:hAnsi="Arial"/>
        </w:rPr>
        <w:t xml:space="preserve">References</w:t>
      </w:r>
    </w:p>
    <w:p>
      <w:pPr>
        <w:pStyle w:val="ListParagraph"/>
        <w:numPr>
          <w:ilvl w:val="0"/>
          <w:numId w:val="2"/>
        </w:numPr>
        <w:spacing w:after="60" w:line="264"/>
      </w:pPr>
      <w:r>
        <w:rPr>
          <w:rFonts w:ascii="Arial" w:cs="Arial" w:eastAsia="Arial" w:hAnsi="Arial"/>
        </w:rPr>
        <w:t xml:space="preserve">SEBI (Mutual Funds) Regulations, 1996 and the SEBI Master Circular for Mutual Funds, as amended from time to time, including the provisions on system audit, IT governance and technology committees</w:t>
      </w:r>
    </w:p>
    <w:p>
      <w:pPr>
        <w:pStyle w:val="ListParagraph"/>
        <w:numPr>
          <w:ilvl w:val="0"/>
          <w:numId w:val="2"/>
        </w:numPr>
        <w:spacing w:after="60" w:line="264"/>
      </w:pPr>
      <w:r>
        <w:rPr>
          <w:rFonts w:ascii="Arial" w:cs="Arial" w:eastAsia="Arial" w:hAnsi="Arial"/>
        </w:rPr>
        <w:t xml:space="preserve">SEBI Cybersecurity and Cyber Resilience Framework (CSCRF) for SEBI Regulated Entities, circular dated 20 August 2024, with its clarifications and amendments</w:t>
      </w:r>
    </w:p>
    <w:p>
      <w:pPr>
        <w:pStyle w:val="ListParagraph"/>
        <w:numPr>
          <w:ilvl w:val="0"/>
          <w:numId w:val="2"/>
        </w:numPr>
        <w:spacing w:after="60" w:line="264"/>
      </w:pPr>
      <w:r>
        <w:rPr>
          <w:rFonts w:ascii="Arial" w:cs="Arial" w:eastAsia="Arial" w:hAnsi="Arial"/>
        </w:rPr>
        <w:t xml:space="preserve">Information Technology Act, 2000 and the CERT-In Directions of 28 April 2022 (including 6-hour incident reporting and 180-day log retention)</w:t>
      </w:r>
    </w:p>
    <w:p>
      <w:pPr>
        <w:pStyle w:val="ListParagraph"/>
        <w:numPr>
          <w:ilvl w:val="0"/>
          <w:numId w:val="2"/>
        </w:numPr>
        <w:spacing w:after="60" w:line="264"/>
      </w:pPr>
      <w:r>
        <w:rPr>
          <w:rFonts w:ascii="Arial" w:cs="Arial" w:eastAsia="Arial" w:hAnsi="Arial"/>
        </w:rPr>
        <w:t xml:space="preserve">Digital Personal Data Protection Act, 2023 and the Digital Personal Data Protection Rules, 2025</w:t>
      </w:r>
    </w:p>
    <w:p>
      <w:pPr>
        <w:pStyle w:val="ListParagraph"/>
        <w:numPr>
          <w:ilvl w:val="0"/>
          <w:numId w:val="2"/>
        </w:numPr>
        <w:spacing w:after="60" w:line="264"/>
      </w:pPr>
      <w:r>
        <w:rPr>
          <w:rFonts w:ascii="Arial" w:cs="Arial" w:eastAsia="Arial" w:hAnsi="Arial"/>
        </w:rPr>
        <w:t xml:space="preserve">ISO/IEC 27001:2022 and ISO 22301:2019 (used as good-practice references, not for certification unless decided by the Board)</w:t>
      </w:r>
    </w:p>
    <w:p>
      <w:pPr>
        <w:pStyle w:val="ListParagraph"/>
        <w:numPr>
          <w:ilvl w:val="0"/>
          <w:numId w:val="2"/>
        </w:numPr>
        <w:spacing w:after="60" w:line="264"/>
      </w:pPr>
      <w:r>
        <w:rPr>
          <w:rFonts w:ascii="Arial" w:cs="Arial" w:eastAsia="Arial" w:hAnsi="Arial"/>
        </w:rPr>
        <w:t xml:space="preserve">ISO 22301:2019 Business continuity management systems</w:t>
      </w:r>
    </w:p>
    <w:p>
      <w:pPr>
        <w:pStyle w:val="Heading1"/>
        <w:spacing w:after="120" w:before="280"/>
      </w:pPr>
      <w:r>
        <w:rPr>
          <w:rFonts w:ascii="Arial" w:cs="Arial" w:eastAsia="Arial" w:hAnsi="Arial"/>
        </w:rPr>
        <w:t xml:space="preserve">Compliance, monitoring and exceptions</w:t>
      </w:r>
    </w:p>
    <w:p>
      <w:pPr>
        <w:pStyle w:val="ListParagraph"/>
        <w:numPr>
          <w:ilvl w:val="0"/>
          <w:numId w:val="2"/>
        </w:numPr>
        <w:spacing w:after="60" w:line="264"/>
      </w:pPr>
      <w:r>
        <w:rPr>
          <w:rFonts w:ascii="Arial" w:cs="Arial" w:eastAsia="Arial" w:hAnsi="Arial"/>
        </w:rPr>
        <w:t xml:space="preserve">Compliance with this document is monitored by the Head of IT and the Chief Operating Officer and reviewed independently by Internal Audit and the annual SEBI system audit.</w:t>
      </w:r>
    </w:p>
    <w:p>
      <w:pPr>
        <w:pStyle w:val="ListParagraph"/>
        <w:numPr>
          <w:ilvl w:val="0"/>
          <w:numId w:val="2"/>
        </w:numPr>
        <w:spacing w:after="60" w:line="264"/>
      </w:pPr>
      <w:r>
        <w:rPr>
          <w:rFonts w:ascii="Arial" w:cs="Arial" w:eastAsia="Arial" w:hAnsi="Arial"/>
        </w:rPr>
        <w:t xml:space="preserve">Any exception must be requested in writing with the business reason, the risk, compensating controls and an end date. Exceptions are approved by the CISO (security) or the Head of IT (operations), recorded in the exception register and reported to the IT Strategy Committee every quarter. No exception may run beyond 12 months without re-approval.</w:t>
      </w:r>
    </w:p>
    <w:p>
      <w:pPr>
        <w:pStyle w:val="ListParagraph"/>
        <w:numPr>
          <w:ilvl w:val="0"/>
          <w:numId w:val="2"/>
        </w:numPr>
        <w:spacing w:after="60" w:line="264"/>
      </w:pPr>
      <w:r>
        <w:rPr>
          <w:rFonts w:ascii="Arial" w:cs="Arial" w:eastAsia="Arial" w:hAnsi="Arial"/>
        </w:rPr>
        <w:t xml:space="preserve">Breach of this document by an employee may lead to disciplinary action under the Company's HR policies; breach by a service provider is handled under the contract.</w:t>
      </w:r>
    </w:p>
    <w:p>
      <w:pPr>
        <w:pStyle w:val="Heading1"/>
        <w:spacing w:after="120" w:before="280"/>
      </w:pPr>
      <w:r>
        <w:rPr>
          <w:rFonts w:ascii="Arial" w:cs="Arial" w:eastAsia="Arial" w:hAnsi="Arial"/>
        </w:rPr>
        <w:t xml:space="preserve">Review</w:t>
      </w:r>
    </w:p>
    <w:p>
      <w:pPr>
        <w:spacing w:after="120" w:line="276"/>
      </w:pPr>
      <w:r>
        <w:rPr>
          <w:rFonts w:ascii="Arial" w:cs="Arial" w:eastAsia="Arial" w:hAnsi="Arial"/>
        </w:rPr>
        <w:t xml:space="preserve">This document is reviewed at least once a year, and earlier when there is a significant change in SEBI or other regulation, in the Company's technology, service providers or business, or after a significant incident. Changes are recommended by the IT Strategy Committee and approved by the Board.</w:t>
      </w:r>
    </w:p>
    <w:p>
      <w:pPr>
        <w:pStyle w:val="Heading1"/>
        <w:spacing w:after="120" w:before="280"/>
      </w:pPr>
      <w:r>
        <w:rPr>
          <w:rFonts w:ascii="Arial" w:cs="Arial" w:eastAsia="Arial" w:hAnsi="Arial"/>
        </w:rPr>
        <w:t xml:space="preserve">Annexure — Mapping to the SEBI system audit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Checklist point</w:t>
            </w:r>
          </w:p>
        </w:tc>
        <w:tc>
          <w:tcPr>
            <w:tcW w:type="dxa" w:w="4526"/>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Requirement</w:t>
            </w:r>
          </w:p>
        </w:tc>
        <w:tc>
          <w:tcPr>
            <w:tcW w:type="dxa" w:w="3000"/>
            <w:tcBorders>
              <w:top w:val="single" w:color="BFC5CF" w:sz="4"/>
              <w:left w:val="single" w:color="BFC5CF" w:sz="4"/>
              <w:bottom w:val="single" w:color="BFC5CF" w:sz="4"/>
              <w:right w:val="single" w:color="BFC5CF" w:sz="4"/>
            </w:tcBorders>
            <w:shd w:fill="1F3864"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Section of this document</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8a</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BCP policy, BIA, recovery objectives, DR</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Sections 3–7</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8b–8d</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DR site, drills, testing</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Sections 6–7</w:t>
            </w:r>
          </w:p>
        </w:tc>
      </w:tr>
      <w:tr>
        <w:trPr>
          <w:tblHeader w:val="false"/>
        </w:trPr>
        <w:tc>
          <w:tcPr>
            <w:tcW w:type="dxa" w:w="15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8e</w:t>
            </w:r>
          </w:p>
        </w:tc>
        <w:tc>
          <w:tcPr>
            <w:tcW w:type="dxa" w:w="4526"/>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BCP training</w:t>
            </w:r>
          </w:p>
        </w:tc>
        <w:tc>
          <w:tcPr>
            <w:tcW w:type="dxa" w:w="3000"/>
            <w:tcBorders>
              <w:top w:val="single" w:color="BFC5CF" w:sz="4"/>
              <w:left w:val="single" w:color="BFC5CF" w:sz="4"/>
              <w:bottom w:val="single" w:color="BFC5CF" w:sz="4"/>
              <w:right w:val="single" w:color="BFC5CF" w:sz="4"/>
            </w:tcBorders>
            <w:tcMar>
              <w:top w:type="dxa" w:w="60"/>
              <w:left w:type="dxa" w:w="100"/>
              <w:bottom w:type="dxa" w:w="60"/>
              <w:right w:type="dxa" w:w="100"/>
            </w:tcMar>
          </w:tcPr>
          <w:p>
            <w:pPr>
              <w:spacing w:after="40"/>
            </w:pPr>
            <w:r>
              <w:rPr>
                <w:rFonts w:ascii="Arial" w:cs="Arial" w:eastAsia="Arial" w:hAnsi="Arial"/>
                <w:sz w:val="18"/>
                <w:szCs w:val="18"/>
              </w:rPr>
              <w:t xml:space="preserve">Section 8 and AAML-IT-PRC-04</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3A3"/>
        <w:sz w:val="16"/>
        <w:szCs w:val="16"/>
      </w:rPr>
      <w:t xml:space="preserve">Internal · </w:t>
    </w:r>
    <w:r>
      <w:rPr>
        <w:rFonts w:ascii="Arial" w:cs="Arial" w:eastAsia="Arial" w:hAnsi="Arial"/>
        <w:color w:val="8A93A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3A3"/>
        <w:sz w:val="16"/>
        <w:szCs w:val="16"/>
      </w:rPr>
      <w:t xml:space="preserve">Ashika Asset Management Limited · Business Continuity and Disaster Recovery Policy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A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and Disaster Recovery Policy</dc:title>
  <dc:creator>Ashika Asset Management Limited</dc:creator>
  <dc:description>Draft policy</dc:description>
  <cp:lastModifiedBy>Un-named</cp:lastModifiedBy>
  <cp:revision>1</cp:revision>
  <dcterms:created xsi:type="dcterms:W3CDTF">2026-10-29T16:44:47.176Z</dcterms:created>
  <dcterms:modified xsi:type="dcterms:W3CDTF">2026-10-29T16:44:47.176Z</dcterms:modified>
</cp:coreProperties>
</file>

<file path=docProps/custom.xml><?xml version="1.0" encoding="utf-8"?>
<Properties xmlns="http://schemas.openxmlformats.org/officeDocument/2006/custom-properties" xmlns:vt="http://schemas.openxmlformats.org/officeDocument/2006/docPropsVTypes"/>
</file>