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475467"/>
          <w:sz w:val="26"/>
          <w:szCs w:val="26"/>
        </w:rPr>
        <w:t xml:space="preserve">Ashika Asset Management Limited</w:t>
      </w:r>
    </w:p>
    <w:p>
      <w:pPr>
        <w:spacing w:after="160"/>
      </w:pPr>
      <w:r>
        <w:rPr>
          <w:rFonts w:ascii="Arial" w:cs="Arial" w:eastAsia="Arial" w:hAnsi="Arial"/>
          <w:b/>
          <w:bCs/>
          <w:color w:val="1F3864"/>
          <w:sz w:val="44"/>
          <w:szCs w:val="44"/>
        </w:rPr>
        <w:t xml:space="preserve">BCP Training and Awareness Procedure</w:t>
      </w:r>
    </w:p>
    <w:p>
      <w:pPr>
        <w:spacing w:after="600"/>
      </w:pPr>
      <w:r>
        <w:rPr>
          <w:rFonts w:ascii="Arial" w:cs="Arial" w:eastAsia="Arial" w:hAnsi="Arial"/>
          <w:color w:val="475467"/>
          <w:sz w:val="24"/>
          <w:szCs w:val="24"/>
        </w:rPr>
        <w:t xml:space="preserve">Who is trained, on what, how often, and how it is recorded</w:t>
      </w:r>
    </w:p>
    <w:p>
      <w:pPr>
        <w:spacing w:after="200"/>
      </w:pPr>
      <w:r>
        <w:rPr>
          <w:rFonts w:ascii="Arial" w:cs="Arial" w:eastAsia="Arial" w:hAnsi="Arial"/>
          <w:i/>
          <w:iCs/>
          <w:color w:val="B54708"/>
          <w:sz w:val="20"/>
          <w:szCs w:val="20"/>
        </w:rPr>
        <w:t xml:space="preserve">DRAFT — for review by the IT Strategy Committee and approval by the Board. Text in [●] is to be completed.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Item</w:t>
            </w:r>
          </w:p>
        </w:tc>
        <w:tc>
          <w:tcPr>
            <w:tcW w:type="dxa" w:w="64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Details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BCP Training and Awareness Procedure</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 ID</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AAML-IT-PRC-04</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Version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 — DRAFT for review</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Classification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Internal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Owner</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Head of IT (with HR)</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Chief Information Security Officer (CISO); Compliance Officer</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IT Strategy Committee</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Effective date</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 (date of Board approval)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 frequency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At least once a year, and on any significant change in regulation, technology or business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Applies to</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Ashika Asset Management Limited (the "Company" / "AMC") and, where stated, its service providers</w:t>
            </w:r>
          </w:p>
        </w:tc>
      </w:tr>
    </w:tbl>
    <w:p>
      <w:pPr>
        <w:spacing w:after="120" w:line="276"/>
      </w:pPr>
    </w:p>
    <w:p>
      <w:pPr>
        <w:pStyle w:val="Heading2"/>
        <w:spacing w:after="100" w:before="200"/>
      </w:pPr>
      <w:r>
        <w:rPr>
          <w:rFonts w:ascii="Arial" w:cs="Arial" w:eastAsia="Arial" w:hAnsi="Arial"/>
        </w:rP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3826"/>
        <w:gridCol w:w="2500"/>
      </w:tblGrid>
      <w:tr>
        <w:trPr>
          <w:tblHeader/>
        </w:trPr>
        <w:tc>
          <w:tcPr>
            <w:tcW w:type="dxa" w:w="11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Version</w:t>
            </w:r>
          </w:p>
        </w:tc>
        <w:tc>
          <w:tcPr>
            <w:tcW w:type="dxa" w:w="1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Date</w:t>
            </w:r>
          </w:p>
        </w:tc>
        <w:tc>
          <w:tcPr>
            <w:tcW w:type="dxa" w:w="38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Change</w:t>
            </w:r>
          </w:p>
        </w:tc>
        <w:tc>
          <w:tcPr>
            <w:tcW w:type="dxa" w:w="2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Author / Approver</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First draft for review</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1.0</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bl>
    <w:p>
      <w:r>
        <w:br w:type="page"/>
      </w:r>
    </w:p>
    <w:p>
      <w:pPr>
        <w:spacing w:after="120"/>
      </w:pPr>
      <w:r>
        <w:rPr>
          <w:rFonts w:ascii="Arial" w:cs="Arial" w:eastAsia="Arial" w:hAnsi="Arial"/>
          <w:b/>
          <w:bCs/>
          <w:color w:val="1F3864"/>
          <w:sz w:val="28"/>
          <w:szCs w:val="28"/>
        </w:rPr>
        <w:t xml:space="preserve">Contents</w:t>
      </w:r>
    </w:p>
    <w:p>
      <w:pPr>
        <w:spacing w:after="80"/>
      </w:pPr>
      <w:r>
        <w:rPr>
          <w:rFonts w:ascii="Arial" w:cs="Arial" w:eastAsia="Arial" w:hAnsi="Arial"/>
          <w:sz w:val="21"/>
          <w:szCs w:val="21"/>
        </w:rPr>
        <w:t xml:space="preserve">1. Purpose</w:t>
      </w:r>
    </w:p>
    <w:p>
      <w:pPr>
        <w:spacing w:after="80"/>
      </w:pPr>
      <w:r>
        <w:rPr>
          <w:rFonts w:ascii="Arial" w:cs="Arial" w:eastAsia="Arial" w:hAnsi="Arial"/>
          <w:sz w:val="21"/>
          <w:szCs w:val="21"/>
        </w:rPr>
        <w:t xml:space="preserve">2. Training plan</w:t>
      </w:r>
    </w:p>
    <w:p>
      <w:pPr>
        <w:spacing w:after="80"/>
      </w:pPr>
      <w:r>
        <w:rPr>
          <w:rFonts w:ascii="Arial" w:cs="Arial" w:eastAsia="Arial" w:hAnsi="Arial"/>
          <w:sz w:val="21"/>
          <w:szCs w:val="21"/>
        </w:rPr>
        <w:t xml:space="preserve">3. Records</w:t>
      </w:r>
    </w:p>
    <w:p>
      <w:pPr>
        <w:spacing w:after="80"/>
      </w:pPr>
      <w:r>
        <w:rPr>
          <w:rFonts w:ascii="Arial" w:cs="Arial" w:eastAsia="Arial" w:hAnsi="Arial"/>
          <w:sz w:val="21"/>
          <w:szCs w:val="21"/>
        </w:rPr>
        <w:t xml:space="preserve">Compliance, monitoring and exceptions</w:t>
      </w:r>
    </w:p>
    <w:p>
      <w:pPr>
        <w:spacing w:after="80"/>
      </w:pPr>
      <w:r>
        <w:rPr>
          <w:rFonts w:ascii="Arial" w:cs="Arial" w:eastAsia="Arial" w:hAnsi="Arial"/>
          <w:sz w:val="21"/>
          <w:szCs w:val="21"/>
        </w:rPr>
        <w:t xml:space="preserve">Review</w:t>
      </w:r>
    </w:p>
    <w:p>
      <w:pPr>
        <w:spacing w:after="80"/>
      </w:pPr>
      <w:r>
        <w:rPr>
          <w:rFonts w:ascii="Arial" w:cs="Arial" w:eastAsia="Arial" w:hAnsi="Arial"/>
          <w:sz w:val="21"/>
          <w:szCs w:val="21"/>
        </w:rPr>
        <w:t xml:space="preserve">Annexure — Mapping to the SEBI system audit checklist</w:t>
      </w:r>
    </w:p>
    <w:p>
      <w:r>
        <w:br w:type="page"/>
      </w:r>
    </w:p>
    <w:p>
      <w:pPr>
        <w:pStyle w:val="Heading1"/>
        <w:spacing w:after="120" w:before="280"/>
      </w:pPr>
      <w:r>
        <w:rPr>
          <w:rFonts w:ascii="Arial" w:cs="Arial" w:eastAsia="Arial" w:hAnsi="Arial"/>
        </w:rPr>
        <w:t xml:space="preserve">1. Purpose</w:t>
      </w:r>
    </w:p>
    <w:p>
      <w:pPr>
        <w:spacing w:after="120" w:line="276"/>
      </w:pPr>
      <w:r>
        <w:rPr>
          <w:rFonts w:ascii="Arial" w:cs="Arial" w:eastAsia="Arial" w:hAnsi="Arial"/>
        </w:rPr>
        <w:t xml:space="preserve">To make sure every employee knows what to do in a disruption and that recovery teams can carry out the BCP &amp; DR plans.</w:t>
      </w:r>
    </w:p>
    <w:p>
      <w:pPr>
        <w:pStyle w:val="Heading1"/>
        <w:spacing w:after="120" w:before="280"/>
      </w:pPr>
      <w:r>
        <w:rPr>
          <w:rFonts w:ascii="Arial" w:cs="Arial" w:eastAsia="Arial" w:hAnsi="Arial"/>
        </w:rPr>
        <w:t xml:space="preserve">2. Training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26"/>
        <w:gridCol w:w="1900"/>
        <w:gridCol w:w="1600"/>
      </w:tblGrid>
      <w:tr>
        <w:trPr>
          <w:tblHeader/>
        </w:trPr>
        <w:tc>
          <w:tcPr>
            <w:tcW w:type="dxa" w:w="19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Audience</w:t>
            </w:r>
          </w:p>
        </w:tc>
        <w:tc>
          <w:tcPr>
            <w:tcW w:type="dxa" w:w="36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Content</w:t>
            </w:r>
          </w:p>
        </w:tc>
        <w:tc>
          <w:tcPr>
            <w:tcW w:type="dxa" w:w="19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When</w:t>
            </w:r>
          </w:p>
        </w:tc>
        <w:tc>
          <w:tcPr>
            <w:tcW w:type="dxa" w:w="1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Method</w:t>
            </w:r>
          </w:p>
        </w:tc>
      </w:tr>
      <w:tr>
        <w:trPr>
          <w:tblHeader w:val="false"/>
        </w:trPr>
        <w:tc>
          <w:tcPr>
            <w:tcW w:type="dxa" w:w="19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All employees</w:t>
            </w:r>
          </w:p>
        </w:tc>
        <w:tc>
          <w:tcPr>
            <w:tcW w:type="dxa" w:w="36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What a disruption is, how to report it, emergency contacts, work-from-home rules, cyber hygiene</w:t>
            </w:r>
          </w:p>
        </w:tc>
        <w:tc>
          <w:tcPr>
            <w:tcW w:type="dxa" w:w="19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On joining (within 30 days) and every year</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E-learning with quiz (pass mark 80%)</w:t>
            </w:r>
          </w:p>
        </w:tc>
      </w:tr>
      <w:tr>
        <w:trPr>
          <w:tblHeader w:val="false"/>
        </w:trPr>
        <w:tc>
          <w:tcPr>
            <w:tcW w:type="dxa" w:w="19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Crisis Management Team</w:t>
            </w:r>
          </w:p>
        </w:tc>
        <w:tc>
          <w:tcPr>
            <w:tcW w:type="dxa" w:w="36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Invoking the BCP, decision making, communication with regulators, investors and media</w:t>
            </w:r>
          </w:p>
        </w:tc>
        <w:tc>
          <w:tcPr>
            <w:tcW w:type="dxa" w:w="19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Every year, before the BCP exercise</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Workshop and table-top exercise</w:t>
            </w:r>
          </w:p>
        </w:tc>
      </w:tr>
      <w:tr>
        <w:trPr>
          <w:tblHeader w:val="false"/>
        </w:trPr>
        <w:tc>
          <w:tcPr>
            <w:tcW w:type="dxa" w:w="19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IT recovery team</w:t>
            </w:r>
          </w:p>
        </w:tc>
        <w:tc>
          <w:tcPr>
            <w:tcW w:type="dxa" w:w="36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DR runbooks for core applications, email / file-storage restore, backup restore, ransomware playbook</w:t>
            </w:r>
          </w:p>
        </w:tc>
        <w:tc>
          <w:tcPr>
            <w:tcW w:type="dxa" w:w="19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Before each DR drill (twice a year)</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Hands-on drill</w:t>
            </w:r>
          </w:p>
        </w:tc>
      </w:tr>
      <w:tr>
        <w:trPr>
          <w:tblHeader w:val="false"/>
        </w:trPr>
        <w:tc>
          <w:tcPr>
            <w:tcW w:type="dxa" w:w="19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Operations / fund accounting</w:t>
            </w:r>
          </w:p>
        </w:tc>
        <w:tc>
          <w:tcPr>
            <w:tcW w:type="dxa" w:w="36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Alternate procedures for NAV, settlement and investor servicing; coordination with critical service providers</w:t>
            </w:r>
          </w:p>
        </w:tc>
        <w:tc>
          <w:tcPr>
            <w:tcW w:type="dxa" w:w="19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Every year</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Walk-through</w:t>
            </w:r>
          </w:p>
        </w:tc>
      </w:tr>
      <w:tr>
        <w:trPr>
          <w:tblHeader w:val="false"/>
        </w:trPr>
        <w:tc>
          <w:tcPr>
            <w:tcW w:type="dxa" w:w="19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New critical-role alternates</w:t>
            </w:r>
          </w:p>
        </w:tc>
        <w:tc>
          <w:tcPr>
            <w:tcW w:type="dxa" w:w="36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Role-specific BCP tasks</w:t>
            </w:r>
          </w:p>
        </w:tc>
        <w:tc>
          <w:tcPr>
            <w:tcW w:type="dxa" w:w="19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On appointment</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One-to-one</w:t>
            </w:r>
          </w:p>
        </w:tc>
      </w:tr>
    </w:tbl>
    <w:p>
      <w:pPr>
        <w:spacing w:after="120" w:line="276"/>
      </w:pPr>
    </w:p>
    <w:p>
      <w:pPr>
        <w:pStyle w:val="Heading1"/>
        <w:spacing w:after="120" w:before="280"/>
      </w:pPr>
      <w:r>
        <w:rPr>
          <w:rFonts w:ascii="Arial" w:cs="Arial" w:eastAsia="Arial" w:hAnsi="Arial"/>
        </w:rPr>
        <w:t xml:space="preserve">3. Records</w:t>
      </w:r>
    </w:p>
    <w:p>
      <w:pPr>
        <w:pStyle w:val="ListParagraph"/>
        <w:numPr>
          <w:ilvl w:val="0"/>
          <w:numId w:val="2"/>
        </w:numPr>
        <w:spacing w:after="60" w:line="264"/>
      </w:pPr>
      <w:r>
        <w:rPr>
          <w:rFonts w:ascii="Arial" w:cs="Arial" w:eastAsia="Arial" w:hAnsi="Arial"/>
        </w:rPr>
        <w:t xml:space="preserve">HR / IT keep attendance, completion dates and quiz scores; completion reports are given to the Head of IT monthly.</w:t>
      </w:r>
    </w:p>
    <w:p>
      <w:pPr>
        <w:pStyle w:val="ListParagraph"/>
        <w:numPr>
          <w:ilvl w:val="0"/>
          <w:numId w:val="2"/>
        </w:numPr>
        <w:spacing w:after="60" w:line="264"/>
      </w:pPr>
      <w:r>
        <w:rPr>
          <w:rFonts w:ascii="Arial" w:cs="Arial" w:eastAsia="Arial" w:hAnsi="Arial"/>
        </w:rPr>
        <w:t xml:space="preserve">Non-completion after 30 days is escalated to the reporting manager; after 60 days to the CEO.</w:t>
      </w:r>
    </w:p>
    <w:p>
      <w:pPr>
        <w:pStyle w:val="ListParagraph"/>
        <w:numPr>
          <w:ilvl w:val="0"/>
          <w:numId w:val="2"/>
        </w:numPr>
        <w:spacing w:after="60" w:line="264"/>
      </w:pPr>
      <w:r>
        <w:rPr>
          <w:rFonts w:ascii="Arial" w:cs="Arial" w:eastAsia="Arial" w:hAnsi="Arial"/>
        </w:rPr>
        <w:t xml:space="preserve">Training material is reviewed every year and after each drill to include lessons learnt.</w:t>
      </w:r>
    </w:p>
    <w:p>
      <w:pPr>
        <w:pStyle w:val="ListParagraph"/>
        <w:numPr>
          <w:ilvl w:val="0"/>
          <w:numId w:val="2"/>
        </w:numPr>
        <w:spacing w:after="60" w:line="264"/>
      </w:pPr>
      <w:r>
        <w:rPr>
          <w:rFonts w:ascii="Arial" w:cs="Arial" w:eastAsia="Arial" w:hAnsi="Arial"/>
        </w:rPr>
        <w:t xml:space="preserve">Evidence retained for audit: training calendar, material, attendance / completion reports, drill reports.</w:t>
      </w:r>
    </w:p>
    <w:p>
      <w:pPr>
        <w:pStyle w:val="Heading1"/>
        <w:spacing w:after="120" w:before="280"/>
      </w:pPr>
      <w:r>
        <w:rPr>
          <w:rFonts w:ascii="Arial" w:cs="Arial" w:eastAsia="Arial" w:hAnsi="Arial"/>
        </w:rPr>
        <w:t xml:space="preserve">Compliance, monitoring and exceptions</w:t>
      </w:r>
    </w:p>
    <w:p>
      <w:pPr>
        <w:pStyle w:val="ListParagraph"/>
        <w:numPr>
          <w:ilvl w:val="0"/>
          <w:numId w:val="2"/>
        </w:numPr>
        <w:spacing w:after="60" w:line="264"/>
      </w:pPr>
      <w:r>
        <w:rPr>
          <w:rFonts w:ascii="Arial" w:cs="Arial" w:eastAsia="Arial" w:hAnsi="Arial"/>
        </w:rPr>
        <w:t xml:space="preserve">Compliance with this document is monitored by the Head of IT and HR and reviewed independently by Internal Audit and the annual SEBI system audit.</w:t>
      </w:r>
    </w:p>
    <w:p>
      <w:pPr>
        <w:pStyle w:val="ListParagraph"/>
        <w:numPr>
          <w:ilvl w:val="0"/>
          <w:numId w:val="2"/>
        </w:numPr>
        <w:spacing w:after="60" w:line="264"/>
      </w:pPr>
      <w:r>
        <w:rPr>
          <w:rFonts w:ascii="Arial" w:cs="Arial" w:eastAsia="Arial" w:hAnsi="Arial"/>
        </w:rPr>
        <w:t xml:space="preserve">Any exception must be requested in writing with the business reason, the risk, compensating controls and an end date. Exceptions are approved by the CISO (security) or the Head of IT (operations), recorded in the exception register and reported to the IT Strategy Committee every quarter. No exception may run beyond 12 months without re-approval.</w:t>
      </w:r>
    </w:p>
    <w:p>
      <w:pPr>
        <w:pStyle w:val="ListParagraph"/>
        <w:numPr>
          <w:ilvl w:val="0"/>
          <w:numId w:val="2"/>
        </w:numPr>
        <w:spacing w:after="60" w:line="264"/>
      </w:pPr>
      <w:r>
        <w:rPr>
          <w:rFonts w:ascii="Arial" w:cs="Arial" w:eastAsia="Arial" w:hAnsi="Arial"/>
        </w:rPr>
        <w:t xml:space="preserve">Breach of this document by an employee may lead to disciplinary action under the Company's HR policies; breach by a service provider is handled under the contract.</w:t>
      </w:r>
    </w:p>
    <w:p>
      <w:pPr>
        <w:pStyle w:val="Heading1"/>
        <w:spacing w:after="120" w:before="280"/>
      </w:pPr>
      <w:r>
        <w:rPr>
          <w:rFonts w:ascii="Arial" w:cs="Arial" w:eastAsia="Arial" w:hAnsi="Arial"/>
        </w:rPr>
        <w:t xml:space="preserve">Review</w:t>
      </w:r>
    </w:p>
    <w:p>
      <w:pPr>
        <w:spacing w:after="120" w:line="276"/>
      </w:pPr>
      <w:r>
        <w:rPr>
          <w:rFonts w:ascii="Arial" w:cs="Arial" w:eastAsia="Arial" w:hAnsi="Arial"/>
        </w:rPr>
        <w:t xml:space="preserve">This document is reviewed at least once a year, and earlier when there is a significant change in SEBI or other regulation, in the Company's technology, service providers or business, or after a significant incident. Changes are recommended by the IT Strategy Committee and approved by the Board.</w:t>
      </w:r>
    </w:p>
    <w:p>
      <w:pPr>
        <w:pStyle w:val="Heading1"/>
        <w:spacing w:after="120" w:before="280"/>
      </w:pPr>
      <w:r>
        <w:rPr>
          <w:rFonts w:ascii="Arial" w:cs="Arial" w:eastAsia="Arial" w:hAnsi="Arial"/>
        </w:rPr>
        <w:t xml:space="preserve">Annexure — Mapping to the SEBI system audit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tblHeader/>
        </w:trPr>
        <w:tc>
          <w:tcPr>
            <w:tcW w:type="dxa" w:w="1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Checklist point</w:t>
            </w:r>
          </w:p>
        </w:tc>
        <w:tc>
          <w:tcPr>
            <w:tcW w:type="dxa" w:w="45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30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Section of this document</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8e</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BCP training procedure</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Whole document</w:t>
            </w:r>
          </w:p>
        </w:tc>
      </w:tr>
    </w:tbl>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3A3"/>
        <w:sz w:val="16"/>
        <w:szCs w:val="16"/>
      </w:rPr>
      <w:t xml:space="preserve">Internal · </w:t>
    </w:r>
    <w:r>
      <w:rPr>
        <w:rFonts w:ascii="Arial" w:cs="Arial" w:eastAsia="Arial" w:hAnsi="Arial"/>
        <w:color w:val="8A93A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3A3"/>
        <w:sz w:val="16"/>
        <w:szCs w:val="16"/>
      </w:rPr>
      <w:t xml:space="preserve">Ashika Asset Management Limited · BCP Training and Awareness Procedure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A7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BCP Training and Awareness Procedure</dc:title>
  <dc:creator>Ashika Asset Management Limited</dc:creator>
  <dc:description>Draft policy</dc:description>
  <cp:lastModifiedBy>Un-named</cp:lastModifiedBy>
  <cp:revision>1</cp:revision>
  <dcterms:created xsi:type="dcterms:W3CDTF">2026-10-29T16:44:47.240Z</dcterms:created>
  <dcterms:modified xsi:type="dcterms:W3CDTF">2026-10-29T16:44:47.240Z</dcterms:modified>
</cp:coreProperties>
</file>

<file path=docProps/custom.xml><?xml version="1.0" encoding="utf-8"?>
<Properties xmlns="http://schemas.openxmlformats.org/officeDocument/2006/custom-properties" xmlns:vt="http://schemas.openxmlformats.org/officeDocument/2006/docPropsVTypes"/>
</file>