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>
          <w:rFonts w:ascii="Times New Roman" w:cs="Times New Roman" w:eastAsia="Times New Roman" w:hAnsi="Times New Roman"/>
          <w:sz w:val="44"/>
          <w:szCs w:val="44"/>
        </w:rPr>
      </w:pPr>
      <w:bookmarkStart w:colFirst="0" w:colLast="0" w:name="_63lz7b786eve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AI_Phase3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3255"/>
        <w:gridCol w:w="3240"/>
        <w:tblGridChange w:id="0">
          <w:tblGrid>
            <w:gridCol w:w="1965"/>
            <w:gridCol w:w="3255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Serial 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Team Member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Registration Number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K.Navinraj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310821104064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M.P.Praveen Raja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310821104070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Sachin 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310821104081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K.P.Tharun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310821104100</w:t>
            </w:r>
          </w:p>
        </w:tc>
      </w:tr>
    </w:tbl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>
          <w:sz w:val="32"/>
          <w:szCs w:val="32"/>
        </w:rPr>
      </w:pPr>
      <w:bookmarkStart w:colFirst="0" w:colLast="0" w:name="_y3mckj9m47dp" w:id="1"/>
      <w:bookmarkEnd w:id="1"/>
      <w:r w:rsidDel="00000000" w:rsidR="00000000" w:rsidRPr="00000000">
        <w:rPr>
          <w:rtl w:val="0"/>
        </w:rPr>
        <w:t xml:space="preserve">Objective: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 technology stack described in the plan encompasses a range of tools and frameworks that are commonly used in data integration, preprocessing, modelling, real-time data processing, visualisation, deployment, monitoring, documentation, training, compliance, evaluation, and scaling. Let's elaborate on some of the key technologies and their purposes:</w:t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kkox68dzlilr" w:id="2"/>
      <w:bookmarkEnd w:id="2"/>
      <w:r w:rsidDel="00000000" w:rsidR="00000000" w:rsidRPr="00000000">
        <w:rPr>
          <w:rtl w:val="0"/>
        </w:rPr>
        <w:br w:type="textWrapping"/>
        <w:t xml:space="preserve">1.Dataset: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DatasetLink: 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Company Master Data of Tamil Nadu upto 28th February 2019 | Open Government Data (OGD) Platform India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731200" cy="28575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4987444" cy="2538413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7444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after="80" w:lineRule="auto"/>
        <w:rPr/>
      </w:pPr>
      <w:bookmarkStart w:colFirst="0" w:colLast="0" w:name="_8que1vzd2iv" w:id="3"/>
      <w:bookmarkEnd w:id="3"/>
      <w:r w:rsidDel="00000000" w:rsidR="00000000" w:rsidRPr="00000000">
        <w:rPr>
          <w:rtl w:val="0"/>
        </w:rPr>
        <w:t xml:space="preserve">2. Required libraries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734050" cy="850875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-8988" l="-830" r="830" t="898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5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after="80" w:lineRule="auto"/>
        <w:rPr/>
      </w:pPr>
      <w:bookmarkStart w:colFirst="0" w:colLast="0" w:name="_3d805nrg44g6" w:id="4"/>
      <w:bookmarkEnd w:id="4"/>
      <w:r w:rsidDel="00000000" w:rsidR="00000000" w:rsidRPr="00000000">
        <w:rPr>
          <w:rtl w:val="0"/>
        </w:rPr>
        <w:t xml:space="preserve">3. Loading the Dataset</w:t>
      </w:r>
    </w:p>
    <w:p w:rsidR="00000000" w:rsidDel="00000000" w:rsidP="00000000" w:rsidRDefault="00000000" w:rsidRPr="00000000" w14:paraId="00000020">
      <w:pPr>
        <w:keepNext w:val="0"/>
        <w:keepLines w:val="0"/>
        <w:shd w:fill="ffffff" w:val="clear"/>
        <w:spacing w:after="40" w:before="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We will load the dataset named “dialogs.txt” inside our python notebook using the pd.read_csv() method.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rtl w:val="0"/>
        </w:rPr>
        <w:t xml:space="preserve">To load the dataset for AI-driven exploration and prediction of company registration trends with the Registrar of Companies (RoC), you'll need to follow a series of steps. In this content guide, I'll outline the process for loading the dataset and preparing it for analysis using artificial intelligence (AI) techniques.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731200" cy="8763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1981200</wp:posOffset>
            </wp:positionV>
            <wp:extent cx="5014913" cy="2856856"/>
            <wp:effectExtent b="0" l="0" r="0" t="0"/>
            <wp:wrapTopAndBottom distB="114300" distT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2434" l="11295" r="10132" t="26023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28568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after="80" w:lineRule="auto"/>
        <w:rPr/>
      </w:pPr>
      <w:bookmarkStart w:colFirst="0" w:colLast="0" w:name="_u83s1bz5sehi" w:id="5"/>
      <w:bookmarkEnd w:id="5"/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. Pre-processing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Preprocessing is a crucial step in AI-driven exploration and prediction of company registration trends with the Registrar of Companies (RoC). Proper preprocessing ensures that your dataset is clean, well-structured, and suitable for machine learning algorithms. 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a often contains noise, irrelevant information, and inconsistencies that can interfere with the accuracy of NLP models.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731200" cy="9398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4gr7yfbwxpwl" w:id="6"/>
      <w:bookmarkEnd w:id="6"/>
      <w:r w:rsidDel="00000000" w:rsidR="00000000" w:rsidRPr="00000000">
        <w:rPr>
          <w:rtl w:val="0"/>
        </w:rPr>
        <w:t xml:space="preserve">5. Data Type Correction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593888</wp:posOffset>
            </wp:positionH>
            <wp:positionV relativeFrom="paragraph">
              <wp:posOffset>428625</wp:posOffset>
            </wp:positionV>
            <wp:extent cx="4543425" cy="2724150"/>
            <wp:effectExtent b="0" l="0" r="0" t="0"/>
            <wp:wrapNone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9800" r="10963" t="2372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24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jc w:val="center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b w:val="1"/>
          <w:color w:val="31313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3786188" cy="2143125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574838</wp:posOffset>
            </wp:positionH>
            <wp:positionV relativeFrom="paragraph">
              <wp:posOffset>1781659</wp:posOffset>
            </wp:positionV>
            <wp:extent cx="4576763" cy="2724770"/>
            <wp:effectExtent b="0" l="0" r="0" t="0"/>
            <wp:wrapNone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11129" r="10465" t="25283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7247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3157538" cy="1790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color w:val="31313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731200" cy="1790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color w:val="31313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40"/>
          <w:szCs w:val="40"/>
          <w:rtl w:val="0"/>
        </w:rPr>
        <w:t xml:space="preserve">6. Exploratory Data Analysis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Exploratory data analysis (EDA) is used to analyses and investigate data sets and summarise their main characteristics, often employing data visualisation methods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AI-driven exploration and prediction of company registration trends with the Registrar of Companies (RoC) involves a series of steps, including data collection, cleaning, transformation, loading, EDA, modelling, and deployment. Careful attention to data quality and preprocessing is essential for building effective AI models in this context.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142875</wp:posOffset>
            </wp:positionV>
            <wp:extent cx="5731200" cy="3543300"/>
            <wp:effectExtent b="0" l="0" r="0" t="0"/>
            <wp:wrapNone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870113</wp:posOffset>
            </wp:positionH>
            <wp:positionV relativeFrom="paragraph">
              <wp:posOffset>304800</wp:posOffset>
            </wp:positionV>
            <wp:extent cx="3989799" cy="2214563"/>
            <wp:effectExtent b="0" l="0" r="0" t="0"/>
            <wp:wrapNone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9799" cy="2214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114300</wp:posOffset>
            </wp:positionV>
            <wp:extent cx="5731200" cy="2451100"/>
            <wp:effectExtent b="0" l="0" r="0" t="0"/>
            <wp:wrapNone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4038600" cy="2363167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6234" l="11627" r="30730" t="3985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363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/>
      </w:pPr>
      <w:bookmarkStart w:colFirst="0" w:colLast="0" w:name="_6481tussqnew" w:id="7"/>
      <w:bookmarkEnd w:id="7"/>
      <w:r w:rsidDel="00000000" w:rsidR="00000000" w:rsidRPr="00000000">
        <w:rPr>
          <w:rtl w:val="0"/>
        </w:rPr>
        <w:t xml:space="preserve">6. Extracting preprocessed csv file dataset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After performing data cleaning, the refined dataset can be saved and downloaded as a distinct CSV file.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676275</wp:posOffset>
            </wp:positionV>
            <wp:extent cx="6446368" cy="766595"/>
            <wp:effectExtent b="0" l="0" r="0" t="0"/>
            <wp:wrapNone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6368" cy="7665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240" w:lineRule="auto"/>
    </w:pPr>
    <w:rPr>
      <w:rFonts w:ascii="Times New Roman" w:cs="Times New Roman" w:eastAsia="Times New Roman" w:hAnsi="Times New Roman"/>
      <w:b w:val="1"/>
      <w:color w:val="434343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4.png"/><Relationship Id="rId22" Type="http://schemas.openxmlformats.org/officeDocument/2006/relationships/image" Target="media/image1.png"/><Relationship Id="rId10" Type="http://schemas.openxmlformats.org/officeDocument/2006/relationships/image" Target="media/image8.png"/><Relationship Id="rId21" Type="http://schemas.openxmlformats.org/officeDocument/2006/relationships/image" Target="media/image15.png"/><Relationship Id="rId13" Type="http://schemas.openxmlformats.org/officeDocument/2006/relationships/image" Target="media/image1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14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hyperlink" Target="https://tn.data.gov.in/resource/company-master-data-tamil-nadu-upto-28th-february-2019" TargetMode="External"/><Relationship Id="rId18" Type="http://schemas.openxmlformats.org/officeDocument/2006/relationships/image" Target="media/image16.png"/><Relationship Id="rId7" Type="http://schemas.openxmlformats.org/officeDocument/2006/relationships/image" Target="media/image1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