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60E3" w:rsidRDefault="00BC3DF0">
      <w:pPr>
        <w:pStyle w:val="Heading1"/>
      </w:pPr>
      <w:r>
        <w:t>21 CFR Part 11 &amp; ALCOA++ Design Specification Matrix</w:t>
      </w:r>
    </w:p>
    <w:p w:rsidR="002D42C2" w:rsidRDefault="00BC3DF0">
      <w:pPr>
        <w:spacing w:after="240"/>
        <w:rPr>
          <w:i/>
          <w:iCs/>
          <w:color w:val="404040"/>
          <w:sz w:val="19"/>
          <w:szCs w:val="19"/>
        </w:rPr>
      </w:pPr>
      <w:r>
        <w:rPr>
          <w:i/>
          <w:iCs/>
          <w:color w:val="404040"/>
          <w:sz w:val="19"/>
          <w:szCs w:val="19"/>
        </w:rPr>
        <w:t xml:space="preserve">Purpose: </w:t>
      </w:r>
    </w:p>
    <w:p w:rsidR="005760E3" w:rsidRDefault="00BC3DF0">
      <w:pPr>
        <w:spacing w:after="240"/>
      </w:pPr>
      <w:r>
        <w:rPr>
          <w:i/>
          <w:iCs/>
          <w:color w:val="404040"/>
          <w:sz w:val="19"/>
          <w:szCs w:val="19"/>
        </w:rPr>
        <w:t>This matrix consolidates 21 CFR Part 11 electronic record/electronic signature requirements with ALCOA++ data integrity attributes into a single set of software design specifications. It is intended for use as a baseline requirement reference when</w:t>
      </w:r>
      <w:r>
        <w:rPr>
          <w:i/>
          <w:iCs/>
          <w:color w:val="404040"/>
          <w:sz w:val="19"/>
          <w:szCs w:val="19"/>
        </w:rPr>
        <w:t xml:space="preserve"> evaluating or specifying GxP software from a vendor. Procedural/organisational-only clauses (e.g., personnel training, signature accountability policy) are excluded as they are not software design features.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60"/>
        <w:gridCol w:w="7500"/>
      </w:tblGrid>
      <w:tr w:rsidR="005760E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60E3" w:rsidRDefault="00BC3DF0">
            <w:r>
              <w:rPr>
                <w:b/>
                <w:bCs/>
                <w:color w:val="FFFFFF"/>
                <w:sz w:val="21"/>
                <w:szCs w:val="21"/>
              </w:rPr>
              <w:t>21 CFR Part 11 Clause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60E3" w:rsidRDefault="00BC3DF0">
            <w:r>
              <w:rPr>
                <w:b/>
                <w:bCs/>
                <w:color w:val="FFFFFF"/>
                <w:sz w:val="21"/>
                <w:szCs w:val="21"/>
              </w:rPr>
              <w:t>ALCOA++ Attribute(s) Addre</w:t>
            </w:r>
            <w:r>
              <w:rPr>
                <w:b/>
                <w:bCs/>
                <w:color w:val="FFFFFF"/>
                <w:sz w:val="21"/>
                <w:szCs w:val="21"/>
              </w:rPr>
              <w:t>ssed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60E3" w:rsidRDefault="00BC3DF0">
            <w:r>
              <w:rPr>
                <w:b/>
                <w:bCs/>
                <w:color w:val="FFFFFF"/>
                <w:sz w:val="21"/>
                <w:szCs w:val="21"/>
              </w:rPr>
              <w:t>Required Software Feature / Design Specification</w:t>
            </w:r>
          </w:p>
        </w:tc>
      </w:tr>
      <w:tr w:rsidR="005760E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60E3" w:rsidRDefault="00BC3DF0">
            <w:r>
              <w:rPr>
                <w:b/>
                <w:bCs/>
                <w:sz w:val="20"/>
                <w:szCs w:val="20"/>
              </w:rPr>
              <w:t>§11.10(a)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60E3" w:rsidRDefault="00BC3DF0">
            <w:r w:rsidRPr="002D42C2">
              <w:rPr>
                <w:b/>
                <w:sz w:val="20"/>
                <w:szCs w:val="20"/>
              </w:rPr>
              <w:t>Foundational</w:t>
            </w:r>
            <w:r>
              <w:rPr>
                <w:sz w:val="20"/>
                <w:szCs w:val="20"/>
              </w:rPr>
              <w:t xml:space="preserve"> – underpins all attributes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60E3" w:rsidRDefault="00BC3DF0">
            <w:r>
              <w:rPr>
                <w:sz w:val="20"/>
                <w:szCs w:val="20"/>
              </w:rPr>
              <w:t>System shall be validated via documented IQ/OQ/PQ with risk-based test coverage across all GxP functions before production use.</w:t>
            </w:r>
          </w:p>
        </w:tc>
      </w:tr>
      <w:tr w:rsidR="005760E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60E3" w:rsidRDefault="00BC3DF0">
            <w:r>
              <w:rPr>
                <w:b/>
                <w:bCs/>
                <w:sz w:val="20"/>
                <w:szCs w:val="20"/>
              </w:rPr>
              <w:t>§11.10(b)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60E3" w:rsidRDefault="00BC3DF0">
            <w:r>
              <w:rPr>
                <w:sz w:val="20"/>
                <w:szCs w:val="20"/>
              </w:rPr>
              <w:t>Legible, Original, Avai</w:t>
            </w:r>
            <w:bookmarkStart w:id="0" w:name="_GoBack"/>
            <w:bookmarkEnd w:id="0"/>
            <w:r>
              <w:rPr>
                <w:sz w:val="20"/>
                <w:szCs w:val="20"/>
              </w:rPr>
              <w:t>lable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60E3" w:rsidRDefault="00BC3DF0">
            <w:r>
              <w:rPr>
                <w:sz w:val="20"/>
                <w:szCs w:val="20"/>
              </w:rPr>
              <w:t>System shall export the complete record, full audit trail, and associated metadata in both human-readable (PDF/print) and electronic (XML/CSV) form, with no loss of context versus the source record.</w:t>
            </w:r>
          </w:p>
        </w:tc>
      </w:tr>
      <w:tr w:rsidR="005760E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60E3" w:rsidRDefault="00BC3DF0">
            <w:r>
              <w:rPr>
                <w:b/>
                <w:bCs/>
                <w:sz w:val="20"/>
                <w:szCs w:val="20"/>
              </w:rPr>
              <w:t>§11.10(c)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60E3" w:rsidRDefault="00BC3DF0">
            <w:r>
              <w:rPr>
                <w:sz w:val="20"/>
                <w:szCs w:val="20"/>
              </w:rPr>
              <w:t>Enduring, Available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60E3" w:rsidRDefault="00BC3DF0">
            <w:r>
              <w:rPr>
                <w:sz w:val="20"/>
                <w:szCs w:val="20"/>
              </w:rPr>
              <w:t>System shall provide a defined data retention and archival mechanism with periodic restore verification, and indexed retrieval of archived records within an agreed SLA.</w:t>
            </w:r>
          </w:p>
        </w:tc>
      </w:tr>
      <w:tr w:rsidR="005760E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60E3" w:rsidRDefault="00BC3DF0">
            <w:r>
              <w:rPr>
                <w:b/>
                <w:bCs/>
                <w:sz w:val="20"/>
                <w:szCs w:val="20"/>
              </w:rPr>
              <w:t>§11.10(d)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60E3" w:rsidRDefault="00BC3DF0">
            <w:r>
              <w:rPr>
                <w:sz w:val="20"/>
                <w:szCs w:val="20"/>
              </w:rPr>
              <w:t>Attributable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60E3" w:rsidRDefault="00BC3DF0">
            <w:r>
              <w:rPr>
                <w:sz w:val="20"/>
                <w:szCs w:val="20"/>
              </w:rPr>
              <w:t>System shall enforce role-based access control with unique individual user accounts. Shared or generic logins shall not be permitted. Access revocation shall be supported.</w:t>
            </w:r>
          </w:p>
        </w:tc>
      </w:tr>
      <w:tr w:rsidR="005760E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60E3" w:rsidRDefault="00BC3DF0">
            <w:r>
              <w:rPr>
                <w:b/>
                <w:bCs/>
                <w:sz w:val="20"/>
                <w:szCs w:val="20"/>
              </w:rPr>
              <w:t>§11.10(e)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60E3" w:rsidRDefault="00BC3DF0">
            <w:r>
              <w:rPr>
                <w:sz w:val="20"/>
                <w:szCs w:val="20"/>
              </w:rPr>
              <w:t>Attributable, Contemporaneous, Accurate, Complete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60E3" w:rsidRDefault="00BC3DF0">
            <w:r>
              <w:rPr>
                <w:sz w:val="20"/>
                <w:szCs w:val="20"/>
              </w:rPr>
              <w:t>System shall auto-generate a secure, non-editable audit trail for every create, modify, and delete action on GxP data, capturing old value, new value, user ID, system-generated timestamp, and reason for change. Original data shall never be overwritten. All</w:t>
            </w:r>
            <w:r>
              <w:rPr>
                <w:sz w:val="20"/>
                <w:szCs w:val="20"/>
              </w:rPr>
              <w:t xml:space="preserve"> data, including aborted or repeated events, shall be retained.</w:t>
            </w:r>
          </w:p>
        </w:tc>
      </w:tr>
      <w:tr w:rsidR="005760E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60E3" w:rsidRDefault="00BC3DF0">
            <w:r>
              <w:rPr>
                <w:b/>
                <w:bCs/>
                <w:sz w:val="20"/>
                <w:szCs w:val="20"/>
              </w:rPr>
              <w:t>§11.10(f)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60E3" w:rsidRDefault="00BC3DF0">
            <w:r>
              <w:rPr>
                <w:sz w:val="20"/>
                <w:szCs w:val="20"/>
              </w:rPr>
              <w:t>Consistent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60E3" w:rsidRDefault="00BC3DF0">
            <w:r>
              <w:rPr>
                <w:sz w:val="20"/>
                <w:szCs w:val="20"/>
              </w:rPr>
              <w:t>System shall enforce permitted sequencing of process steps via workflow/state-machine logic, preventing out-of-sequence actions (e.g., approval prior to review).</w:t>
            </w:r>
          </w:p>
        </w:tc>
      </w:tr>
      <w:tr w:rsidR="005760E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60E3" w:rsidRDefault="00BC3DF0">
            <w:r>
              <w:rPr>
                <w:b/>
                <w:bCs/>
                <w:sz w:val="20"/>
                <w:szCs w:val="20"/>
              </w:rPr>
              <w:t>§11.10(g)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60E3" w:rsidRDefault="00BC3DF0">
            <w:r>
              <w:rPr>
                <w:sz w:val="20"/>
                <w:szCs w:val="20"/>
              </w:rPr>
              <w:t>Attributable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60E3" w:rsidRDefault="00BC3DF0">
            <w:r>
              <w:rPr>
                <w:sz w:val="20"/>
                <w:szCs w:val="20"/>
              </w:rPr>
              <w:t>System shall perform authority checks tied to both role and task, and shall support segregation of duties (e.g., reviewer cannot also act as approver for the same record).</w:t>
            </w:r>
          </w:p>
        </w:tc>
      </w:tr>
      <w:tr w:rsidR="005760E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60E3" w:rsidRDefault="00BC3DF0">
            <w:r>
              <w:rPr>
                <w:b/>
                <w:bCs/>
                <w:sz w:val="20"/>
                <w:szCs w:val="20"/>
              </w:rPr>
              <w:t>§11.10(h)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60E3" w:rsidRDefault="00BC3DF0">
            <w:r>
              <w:rPr>
                <w:sz w:val="20"/>
                <w:szCs w:val="20"/>
              </w:rPr>
              <w:t>Consistent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60E3" w:rsidRDefault="00BC3DF0">
            <w:r>
              <w:rPr>
                <w:sz w:val="20"/>
                <w:szCs w:val="20"/>
              </w:rPr>
              <w:t>Where data originates from interfaced instruments/devices, system shall validate the identity/source of the originating device prior to data acceptance.</w:t>
            </w:r>
          </w:p>
        </w:tc>
      </w:tr>
      <w:tr w:rsidR="005760E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60E3" w:rsidRDefault="00BC3DF0">
            <w:r>
              <w:rPr>
                <w:b/>
                <w:bCs/>
                <w:sz w:val="20"/>
                <w:szCs w:val="20"/>
              </w:rPr>
              <w:t>§11.30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60E3" w:rsidRDefault="00BC3DF0">
            <w:r>
              <w:rPr>
                <w:sz w:val="20"/>
                <w:szCs w:val="20"/>
              </w:rPr>
              <w:t>Supports Original, Accurate (open systems)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60E3" w:rsidRDefault="00BC3DF0">
            <w:r>
              <w:rPr>
                <w:sz w:val="20"/>
                <w:szCs w:val="20"/>
              </w:rPr>
              <w:t>For open-system architectures, system shall provide encryption of data in transit and at rest.</w:t>
            </w:r>
          </w:p>
        </w:tc>
      </w:tr>
      <w:tr w:rsidR="005760E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60E3" w:rsidRDefault="00BC3DF0">
            <w:r>
              <w:rPr>
                <w:b/>
                <w:bCs/>
                <w:sz w:val="20"/>
                <w:szCs w:val="20"/>
              </w:rPr>
              <w:lastRenderedPageBreak/>
              <w:t>§11.50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60E3" w:rsidRDefault="00BC3DF0">
            <w:r>
              <w:rPr>
                <w:sz w:val="20"/>
                <w:szCs w:val="20"/>
              </w:rPr>
              <w:t>Attributable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60E3" w:rsidRDefault="00BC3DF0">
            <w:r>
              <w:rPr>
                <w:sz w:val="20"/>
                <w:szCs w:val="20"/>
              </w:rPr>
              <w:t>Electronic signature manifestation shall display the signer's printed name, date/time of signing, and the meaning of the signature (e.g., review, approval, authorship).</w:t>
            </w:r>
          </w:p>
        </w:tc>
      </w:tr>
      <w:tr w:rsidR="005760E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60E3" w:rsidRDefault="00BC3DF0">
            <w:r>
              <w:rPr>
                <w:b/>
                <w:bCs/>
                <w:sz w:val="20"/>
                <w:szCs w:val="20"/>
              </w:rPr>
              <w:t>§11.70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60E3" w:rsidRDefault="00BC3DF0">
            <w:r>
              <w:rPr>
                <w:sz w:val="20"/>
                <w:szCs w:val="20"/>
              </w:rPr>
              <w:t>Attributable, Original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60E3" w:rsidRDefault="00BC3DF0">
            <w:r>
              <w:rPr>
                <w:sz w:val="20"/>
                <w:szCs w:val="20"/>
              </w:rPr>
              <w:t>Electronic signatures shall be logically/cryptographically bound to the specific record version signed. The system shall prevent copying or transferring a signature to falsify another record.</w:t>
            </w:r>
          </w:p>
        </w:tc>
      </w:tr>
      <w:tr w:rsidR="005760E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60E3" w:rsidRDefault="00BC3DF0">
            <w:r>
              <w:rPr>
                <w:b/>
                <w:bCs/>
                <w:sz w:val="20"/>
                <w:szCs w:val="20"/>
              </w:rPr>
              <w:t>§11.100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60E3" w:rsidRDefault="00BC3DF0">
            <w:r>
              <w:rPr>
                <w:sz w:val="20"/>
                <w:szCs w:val="20"/>
              </w:rPr>
              <w:t>Attributable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60E3" w:rsidRDefault="00BC3DF0">
            <w:r>
              <w:rPr>
                <w:sz w:val="20"/>
                <w:szCs w:val="20"/>
              </w:rPr>
              <w:t>System shall enforce a unique user ID per individual at account creation. Deactivated user IDs shall not be reused or reassigned.</w:t>
            </w:r>
          </w:p>
        </w:tc>
      </w:tr>
      <w:tr w:rsidR="005760E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60E3" w:rsidRDefault="00BC3DF0">
            <w:r>
              <w:rPr>
                <w:b/>
                <w:bCs/>
                <w:sz w:val="20"/>
                <w:szCs w:val="20"/>
              </w:rPr>
              <w:t>§11.200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60E3" w:rsidRDefault="00BC3DF0">
            <w:r>
              <w:rPr>
                <w:sz w:val="20"/>
                <w:szCs w:val="20"/>
              </w:rPr>
              <w:t>Attributable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60E3" w:rsidRDefault="00BC3DF0">
            <w:r>
              <w:rPr>
                <w:sz w:val="20"/>
                <w:szCs w:val="20"/>
              </w:rPr>
              <w:t>Electronic signature execution shall require two distinct components (ID code + password) or biometric verification, with re-authentication required at the moment of signing – not satisfied by an active login session alone.</w:t>
            </w:r>
          </w:p>
        </w:tc>
      </w:tr>
      <w:tr w:rsidR="005760E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60E3" w:rsidRDefault="00BC3DF0">
            <w:r>
              <w:rPr>
                <w:b/>
                <w:bCs/>
                <w:sz w:val="20"/>
                <w:szCs w:val="20"/>
              </w:rPr>
              <w:t>§11.300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60E3" w:rsidRDefault="00BC3DF0">
            <w:r>
              <w:rPr>
                <w:sz w:val="20"/>
                <w:szCs w:val="20"/>
              </w:rPr>
              <w:t>Attributable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60E3" w:rsidRDefault="00BC3DF0">
            <w:r>
              <w:rPr>
                <w:sz w:val="20"/>
                <w:szCs w:val="20"/>
              </w:rPr>
              <w:t>System shall enforce password complexity and expiry, account lockout after a defined number of failed attempts, and a deactivation workflow for lost or compromised credentials.</w:t>
            </w:r>
          </w:p>
        </w:tc>
      </w:tr>
    </w:tbl>
    <w:p w:rsidR="005760E3" w:rsidRDefault="005760E3">
      <w:pPr>
        <w:spacing w:before="240"/>
      </w:pPr>
    </w:p>
    <w:sectPr w:rsidR="005760E3">
      <w:headerReference w:type="default" r:id="rId7"/>
      <w:footerReference w:type="default" r:id="rId8"/>
      <w:pgSz w:w="15840" w:h="12240" w:orient="landscape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C3DF0" w:rsidRDefault="00BC3DF0">
      <w:r>
        <w:separator/>
      </w:r>
    </w:p>
  </w:endnote>
  <w:endnote w:type="continuationSeparator" w:id="0">
    <w:p w:rsidR="00BC3DF0" w:rsidRDefault="00BC3D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760E3" w:rsidRDefault="00BC3DF0" w:rsidP="00032221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>Document Reference: ITPL-GXP-DSR-</w:t>
    </w:r>
    <w:proofErr w:type="gramStart"/>
    <w:r>
      <w:rPr>
        <w:color w:val="595959"/>
        <w:sz w:val="16"/>
        <w:szCs w:val="16"/>
      </w:rPr>
      <w:t xml:space="preserve">001  </w:t>
    </w:r>
    <w:r w:rsidR="00032221">
      <w:rPr>
        <w:color w:val="595959"/>
        <w:sz w:val="16"/>
        <w:szCs w:val="16"/>
      </w:rPr>
      <w:tab/>
    </w:r>
    <w:proofErr w:type="gramEnd"/>
    <w:r w:rsidR="00032221">
      <w:rPr>
        <w:color w:val="595959"/>
        <w:sz w:val="16"/>
        <w:szCs w:val="16"/>
      </w:rPr>
      <w:tab/>
    </w:r>
    <w:r w:rsidR="00032221">
      <w:rPr>
        <w:color w:val="595959"/>
        <w:sz w:val="16"/>
        <w:szCs w:val="16"/>
      </w:rPr>
      <w:tab/>
    </w:r>
    <w:r w:rsidR="00032221">
      <w:rPr>
        <w:color w:val="595959"/>
        <w:sz w:val="16"/>
        <w:szCs w:val="16"/>
      </w:rPr>
      <w:tab/>
    </w:r>
    <w:r w:rsidR="00032221">
      <w:rPr>
        <w:color w:val="595959"/>
        <w:sz w:val="16"/>
        <w:szCs w:val="16"/>
      </w:rPr>
      <w:tab/>
    </w:r>
    <w:r w:rsidR="00032221">
      <w:rPr>
        <w:color w:val="595959"/>
        <w:sz w:val="16"/>
        <w:szCs w:val="16"/>
      </w:rPr>
      <w:tab/>
    </w:r>
    <w:r w:rsidR="00032221">
      <w:rPr>
        <w:color w:val="595959"/>
        <w:sz w:val="16"/>
        <w:szCs w:val="16"/>
      </w:rPr>
      <w:tab/>
    </w:r>
    <w:r w:rsidR="00032221">
      <w:rPr>
        <w:color w:val="595959"/>
        <w:sz w:val="16"/>
        <w:szCs w:val="16"/>
      </w:rPr>
      <w:tab/>
    </w:r>
    <w:r w:rsidR="00032221">
      <w:rPr>
        <w:color w:val="595959"/>
        <w:sz w:val="16"/>
        <w:szCs w:val="16"/>
      </w:rPr>
      <w:tab/>
    </w:r>
    <w:r w:rsidR="00032221">
      <w:rPr>
        <w:color w:val="595959"/>
        <w:sz w:val="16"/>
        <w:szCs w:val="16"/>
      </w:rPr>
      <w:tab/>
    </w:r>
    <w:r w:rsidR="00032221">
      <w:rPr>
        <w:color w:val="595959"/>
        <w:sz w:val="16"/>
        <w:szCs w:val="16"/>
      </w:rPr>
      <w:tab/>
    </w:r>
    <w:r w:rsidR="00032221">
      <w:rPr>
        <w:color w:val="595959"/>
        <w:sz w:val="16"/>
        <w:szCs w:val="16"/>
      </w:rPr>
      <w:tab/>
    </w:r>
    <w:r w:rsidR="00032221">
      <w:rPr>
        <w:color w:val="595959"/>
        <w:sz w:val="16"/>
        <w:szCs w:val="16"/>
      </w:rPr>
      <w:tab/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 w:rsidR="00032221">
      <w:rPr>
        <w:color w:val="595959"/>
        <w:sz w:val="16"/>
        <w:szCs w:val="16"/>
      </w:rPr>
      <w:fldChar w:fldCharType="separate"/>
    </w:r>
    <w:r w:rsidR="00032221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 w:rsidR="00032221">
      <w:rPr>
        <w:color w:val="595959"/>
        <w:sz w:val="16"/>
        <w:szCs w:val="16"/>
      </w:rPr>
      <w:fldChar w:fldCharType="separate"/>
    </w:r>
    <w:r w:rsidR="00032221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C3DF0" w:rsidRDefault="00BC3DF0">
      <w:r>
        <w:separator/>
      </w:r>
    </w:p>
  </w:footnote>
  <w:footnote w:type="continuationSeparator" w:id="0">
    <w:p w:rsidR="00BC3DF0" w:rsidRDefault="00BC3D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760E3" w:rsidRDefault="00BC3DF0">
    <w:pPr>
      <w:pBdr>
        <w:bottom w:val="single" w:sz="6" w:space="4" w:color="1F3864"/>
      </w:pBdr>
      <w:tabs>
        <w:tab w:val="right" w:pos="9026"/>
      </w:tabs>
    </w:pPr>
    <w:r>
      <w:rPr>
        <w:b/>
        <w:bCs/>
        <w:color w:val="1F3864"/>
        <w:sz w:val="20"/>
        <w:szCs w:val="20"/>
      </w:rPr>
      <w:t>ITPL – Ingenico Technologies Private Limited</w:t>
    </w:r>
    <w:r>
      <w:rPr>
        <w:color w:val="1F3864"/>
        <w:sz w:val="18"/>
        <w:szCs w:val="18"/>
      </w:rPr>
      <w:tab/>
    </w:r>
    <w:r>
      <w:rPr>
        <w:color w:val="1F3864"/>
        <w:sz w:val="18"/>
        <w:szCs w:val="18"/>
      </w:rPr>
      <w:tab/>
      <w:t>GxP Software Design Specification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59F3515"/>
    <w:multiLevelType w:val="hybridMultilevel"/>
    <w:tmpl w:val="4C2CC252"/>
    <w:lvl w:ilvl="0" w:tplc="4E660A86">
      <w:start w:val="1"/>
      <w:numFmt w:val="bullet"/>
      <w:lvlText w:val="●"/>
      <w:lvlJc w:val="left"/>
      <w:pPr>
        <w:ind w:left="720" w:hanging="360"/>
      </w:pPr>
    </w:lvl>
    <w:lvl w:ilvl="1" w:tplc="2BC237E8">
      <w:start w:val="1"/>
      <w:numFmt w:val="bullet"/>
      <w:lvlText w:val="○"/>
      <w:lvlJc w:val="left"/>
      <w:pPr>
        <w:ind w:left="1440" w:hanging="360"/>
      </w:pPr>
    </w:lvl>
    <w:lvl w:ilvl="2" w:tplc="3356BFD2">
      <w:start w:val="1"/>
      <w:numFmt w:val="bullet"/>
      <w:lvlText w:val="■"/>
      <w:lvlJc w:val="left"/>
      <w:pPr>
        <w:ind w:left="2160" w:hanging="360"/>
      </w:pPr>
    </w:lvl>
    <w:lvl w:ilvl="3" w:tplc="4BD6CAF4">
      <w:start w:val="1"/>
      <w:numFmt w:val="bullet"/>
      <w:lvlText w:val="●"/>
      <w:lvlJc w:val="left"/>
      <w:pPr>
        <w:ind w:left="2880" w:hanging="360"/>
      </w:pPr>
    </w:lvl>
    <w:lvl w:ilvl="4" w:tplc="A810E8B0">
      <w:start w:val="1"/>
      <w:numFmt w:val="bullet"/>
      <w:lvlText w:val="○"/>
      <w:lvlJc w:val="left"/>
      <w:pPr>
        <w:ind w:left="3600" w:hanging="360"/>
      </w:pPr>
    </w:lvl>
    <w:lvl w:ilvl="5" w:tplc="2C4A98D2">
      <w:start w:val="1"/>
      <w:numFmt w:val="bullet"/>
      <w:lvlText w:val="■"/>
      <w:lvlJc w:val="left"/>
      <w:pPr>
        <w:ind w:left="4320" w:hanging="360"/>
      </w:pPr>
    </w:lvl>
    <w:lvl w:ilvl="6" w:tplc="5950C7F2">
      <w:start w:val="1"/>
      <w:numFmt w:val="bullet"/>
      <w:lvlText w:val="●"/>
      <w:lvlJc w:val="left"/>
      <w:pPr>
        <w:ind w:left="5040" w:hanging="360"/>
      </w:pPr>
    </w:lvl>
    <w:lvl w:ilvl="7" w:tplc="1E2620E8">
      <w:start w:val="1"/>
      <w:numFmt w:val="bullet"/>
      <w:lvlText w:val="●"/>
      <w:lvlJc w:val="left"/>
      <w:pPr>
        <w:ind w:left="5760" w:hanging="360"/>
      </w:pPr>
    </w:lvl>
    <w:lvl w:ilvl="8" w:tplc="E65601D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0E3"/>
    <w:rsid w:val="00032221"/>
    <w:rsid w:val="002D42C2"/>
    <w:rsid w:val="005760E3"/>
    <w:rsid w:val="00BC3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E461E"/>
  <w15:docId w15:val="{0F53785C-CB6C-4269-9C7D-A36927C65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pPr>
      <w:spacing w:before="200" w:after="12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3222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2221"/>
  </w:style>
  <w:style w:type="paragraph" w:styleId="Footer">
    <w:name w:val="footer"/>
    <w:basedOn w:val="Normal"/>
    <w:link w:val="FooterChar"/>
    <w:uiPriority w:val="99"/>
    <w:unhideWhenUsed/>
    <w:rsid w:val="0003222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22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526</Words>
  <Characters>3002</Characters>
  <Application>Microsoft Office Word</Application>
  <DocSecurity>0</DocSecurity>
  <Lines>25</Lines>
  <Paragraphs>7</Paragraphs>
  <ScaleCrop>false</ScaleCrop>
  <Company>Ingenico</Company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DI</dc:subject>
  <dc:creator>Jaydeep C</dc:creator>
  <cp:lastModifiedBy>Jaydeep C</cp:lastModifiedBy>
  <cp:revision>4</cp:revision>
  <dcterms:created xsi:type="dcterms:W3CDTF">2026-06-20T05:36:00Z</dcterms:created>
  <dcterms:modified xsi:type="dcterms:W3CDTF">2026-06-20T05:40:00Z</dcterms:modified>
</cp:coreProperties>
</file>