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" w:after="80"/>
        <w:jc w:val="center"/>
      </w:pPr>
      <w:r>
        <w:rPr>
          <w:b/>
          <w:bCs/>
          <w:sz w:val="28"/>
          <w:szCs w:val="28"/>
        </w:rPr>
        <w:t xml:space="preserve">EQUIPMENT LIFECYCLE REPORT (ELR)</w:t>
      </w:r>
    </w:p>
    <w:p>
      <w:pPr>
        <w:spacing w:before="80" w:after="80"/>
        <w:jc w:val="center"/>
      </w:pPr>
      <w:r>
        <w:rPr>
          <w:sz w:val="20"/>
          <w:szCs w:val="20"/>
        </w:rPr>
        <w:t xml:space="preserve">Format No.: SOP/DP/QA/014/F22-R00 (proposed)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200"/>
        <w:gridCol w:w="6200"/>
      </w:tblGrid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Name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{equipmentName}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Make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{equipmentMake}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Model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{equipmentModel}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ID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{equipmentId}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Associated Computerized System / ID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{systemId}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Container Format / Product Scope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{formatScope}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Location / Area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{location}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{department}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Risk Classification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{riskClassification}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Frequency (as per risk classification)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{elrFrequency}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Report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{documentNo}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Cycle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{cycleNo}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Period — From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{periodFrom}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Period — To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{periodTo}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Last Periodic Re-Qualification (PRQ)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{lastPrqNo}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Last PRQ Completion Date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{lastPrqDate}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Next PRQ Due Date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{nextPrqDate}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Revision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{revision}</w:t>
            </w:r>
          </w:p>
        </w:tc>
      </w:tr>
    </w:tbl>
    <w:p>
      <w:pPr>
        <w:spacing w:before="80" w:after="80"/>
      </w:pPr>
      <w:r>
        <w:rPr>
          <w:i/>
          <w:iCs/>
          <w:sz w:val="18"/>
          <w:szCs w:val="18"/>
        </w:rPr>
        <w:t xml:space="preserve">Note: The ELR frequency is set from the equipment risk classification and is not fixed by this form. A separate ELR is compiled for each container format handled by the equipment. Records belonging to the equipment or the filling line as a whole rather than to one format — for example line-level change controls, alarm trends and computerized system records — are reported in the ELR for every format and marked “Line-common” in the applicability column.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1.0 PURPOSE</w:t>
      </w:r>
    </w:p>
    <w:p>
      <w:pPr>
        <w:spacing w:before="80" w:after="80"/>
      </w:pPr>
      <w:r>
        <w:rPr>
          <w:sz w:val="20"/>
          <w:szCs w:val="20"/>
        </w:rPr>
        <w:t xml:space="preserve">{@objectiveXml}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2.0 SCOPE</w:t>
      </w:r>
    </w:p>
    <w:p>
      <w:pPr>
        <w:spacing w:before="80" w:after="80"/>
      </w:pPr>
      <w:r>
        <w:rPr>
          <w:sz w:val="20"/>
          <w:szCs w:val="20"/>
        </w:rPr>
        <w:t xml:space="preserve">{@scopeXml}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3.0 OBSERVATIONS AND RESULTS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 RESPONSIBILITY</w:t>
      </w:r>
    </w:p>
    <w:p>
      <w:pPr>
        <w:spacing w:before="80" w:after="80"/>
      </w:pPr>
      <w:r>
        <w:rPr>
          <w:sz w:val="20"/>
          <w:szCs w:val="20"/>
        </w:rPr>
        <w:t xml:space="preserve">{@responsibilitiesXml}</w:t>
      </w:r>
    </w:p>
    <w:p>
      <w:pPr>
        <w:spacing w:before="80" w:after="80"/>
      </w:pPr>
      <w:r>
        <w:rPr>
          <w:sz w:val="20"/>
          <w:szCs w:val="20"/>
        </w:rPr>
        <w:t xml:space="preserve">{@responsibilitiesTableXml}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3.2 ABBREVIATIONS</w:t>
      </w:r>
    </w:p>
    <w:p>
      <w:pPr>
        <w:spacing w:before="80" w:after="80"/>
      </w:pPr>
      <w:r>
        <w:rPr>
          <w:sz w:val="20"/>
          <w:szCs w:val="20"/>
        </w:rPr>
        <w:t xml:space="preserve">{@abbreviationsTableXml}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3.3 EQUIPMENT AND SYSTEM DESCRIPTION</w:t>
      </w:r>
    </w:p>
    <w:p>
      <w:pPr>
        <w:spacing w:before="80" w:after="80"/>
      </w:pPr>
      <w:r>
        <w:rPr>
          <w:sz w:val="20"/>
          <w:szCs w:val="20"/>
        </w:rPr>
        <w:t xml:space="preserve">{@systemDescriptionXml}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3.4 QUALIFICATION AND PERIODIC RE-QUALIFICATION HISTORY</w:t>
      </w:r>
    </w:p>
    <w:p>
      <w:pPr>
        <w:spacing w:before="80" w:after="80"/>
      </w:pPr>
      <w:r>
        <w:rPr>
          <w:sz w:val="20"/>
          <w:szCs w:val="20"/>
        </w:rPr>
        <w:t xml:space="preserve">{@qualificationXml}</w:t>
      </w:r>
    </w:p>
    <w:p>
      <w:pPr>
        <w:spacing w:before="80" w:after="80"/>
      </w:pPr>
      <w:r>
        <w:rPr>
          <w:sz w:val="20"/>
          <w:szCs w:val="20"/>
        </w:rPr>
        <w:t xml:space="preserve">{@qualificationTableXml}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3.5 MEDIA FILL / ASEPTIC PROCESS SIMULATION</w:t>
      </w:r>
    </w:p>
    <w:p>
      <w:pPr>
        <w:spacing w:before="80" w:after="80"/>
      </w:pPr>
      <w:r>
        <w:rPr>
          <w:sz w:val="20"/>
          <w:szCs w:val="20"/>
        </w:rPr>
        <w:t xml:space="preserve">{@mediaFillXml}</w:t>
      </w:r>
    </w:p>
    <w:p>
      <w:pPr>
        <w:spacing w:before="80" w:after="80"/>
      </w:pPr>
      <w:r>
        <w:rPr>
          <w:sz w:val="20"/>
          <w:szCs w:val="20"/>
        </w:rPr>
        <w:t xml:space="preserve">{@mediaFillTableXml}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3.6 MONITORING</w:t>
      </w:r>
    </w:p>
    <w:p>
      <w:pPr>
        <w:spacing w:before="80" w:after="80"/>
      </w:pPr>
      <w:r>
        <w:rPr>
          <w:sz w:val="20"/>
          <w:szCs w:val="20"/>
        </w:rPr>
        <w:t xml:space="preserve">{@monitoringXml}</w:t>
      </w:r>
    </w:p>
    <w:p>
      <w:pPr>
        <w:spacing w:before="80" w:after="80"/>
      </w:pPr>
      <w:r>
        <w:rPr>
          <w:sz w:val="20"/>
          <w:szCs w:val="20"/>
        </w:rPr>
        <w:t xml:space="preserve">{@monitoringTableXml}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3.7 CALIBRATION OF ASSOCIATED INSTRUMENTS</w:t>
      </w:r>
    </w:p>
    <w:p>
      <w:pPr>
        <w:spacing w:before="80" w:after="80"/>
      </w:pPr>
      <w:r>
        <w:rPr>
          <w:sz w:val="20"/>
          <w:szCs w:val="20"/>
        </w:rPr>
        <w:t xml:space="preserve">{@calibrationXml}</w:t>
      </w:r>
    </w:p>
    <w:p>
      <w:pPr>
        <w:spacing w:before="80" w:after="80"/>
      </w:pPr>
      <w:r>
        <w:rPr>
          <w:sz w:val="20"/>
          <w:szCs w:val="20"/>
        </w:rPr>
        <w:t xml:space="preserve">{@calibrationTableXml}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3.8 PREVENTIVE MAINTENANCE</w:t>
      </w:r>
    </w:p>
    <w:p>
      <w:pPr>
        <w:spacing w:before="80" w:after="80"/>
      </w:pPr>
      <w:r>
        <w:rPr>
          <w:sz w:val="20"/>
          <w:szCs w:val="20"/>
        </w:rPr>
        <w:t xml:space="preserve">{@preventiveMaintenanceXml}</w:t>
      </w:r>
    </w:p>
    <w:p>
      <w:pPr>
        <w:spacing w:before="80" w:after="80"/>
      </w:pPr>
      <w:r>
        <w:rPr>
          <w:sz w:val="20"/>
          <w:szCs w:val="20"/>
        </w:rPr>
        <w:t xml:space="preserve">{@preventiveMaintenanceTableXml}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3.9 ALARM TRENDS</w:t>
      </w:r>
    </w:p>
    <w:p>
      <w:pPr>
        <w:spacing w:before="80" w:after="80"/>
      </w:pPr>
      <w:r>
        <w:rPr>
          <w:sz w:val="20"/>
          <w:szCs w:val="20"/>
        </w:rPr>
        <w:t xml:space="preserve">{@alarmXml}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3.9.1 ALARM TREND SUMMARY</w:t>
      </w:r>
    </w:p>
    <w:p>
      <w:pPr>
        <w:spacing w:before="80" w:after="80"/>
      </w:pPr>
      <w:r>
        <w:rPr>
          <w:sz w:val="20"/>
          <w:szCs w:val="20"/>
        </w:rPr>
        <w:t xml:space="preserve">{@alarmTrendXml}</w:t>
      </w:r>
    </w:p>
    <w:p>
      <w:pPr>
        <w:spacing w:before="80" w:after="80"/>
      </w:pPr>
      <w:r>
        <w:rPr>
          <w:sz w:val="20"/>
          <w:szCs w:val="20"/>
        </w:rPr>
        <w:t xml:space="preserve">{@alarmTableXml}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3.10 BREAKDOWNS AND TRENDS</w:t>
      </w:r>
    </w:p>
    <w:p>
      <w:pPr>
        <w:spacing w:before="80" w:after="80"/>
      </w:pPr>
      <w:r>
        <w:rPr>
          <w:sz w:val="20"/>
          <w:szCs w:val="20"/>
        </w:rPr>
        <w:t xml:space="preserve">{@breakdownXml}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3.10.1 BREAKDOWN TREND SUMMARY</w:t>
      </w:r>
    </w:p>
    <w:p>
      <w:pPr>
        <w:spacing w:before="80" w:after="80"/>
      </w:pPr>
      <w:r>
        <w:rPr>
          <w:sz w:val="20"/>
          <w:szCs w:val="20"/>
        </w:rPr>
        <w:t xml:space="preserve">{@breakdownTrendXml}</w:t>
      </w:r>
    </w:p>
    <w:p>
      <w:pPr>
        <w:spacing w:before="80" w:after="80"/>
      </w:pPr>
      <w:r>
        <w:rPr>
          <w:sz w:val="20"/>
          <w:szCs w:val="20"/>
        </w:rPr>
        <w:t xml:space="preserve">{@breakdownTableXml}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3.11 QMS RECORDS SINCE LAST PERIODIC RE-QUALIFICATION</w:t>
      </w:r>
    </w:p>
    <w:p>
      <w:pPr>
        <w:spacing w:before="80" w:after="80"/>
      </w:pPr>
      <w:r>
        <w:rPr>
          <w:sz w:val="20"/>
          <w:szCs w:val="20"/>
        </w:rPr>
        <w:t xml:space="preserve">{@qmsXml}</w:t>
      </w:r>
    </w:p>
    <w:p>
      <w:pPr>
        <w:spacing w:before="80" w:after="80"/>
      </w:pPr>
      <w:r>
        <w:rPr>
          <w:sz w:val="20"/>
          <w:szCs w:val="20"/>
        </w:rPr>
        <w:t xml:space="preserve">{@qmsTableXml}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3.12 ACCESS CONTROL</w:t>
      </w:r>
    </w:p>
    <w:p>
      <w:pPr>
        <w:spacing w:before="80" w:after="80"/>
      </w:pPr>
      <w:r>
        <w:rPr>
          <w:sz w:val="20"/>
          <w:szCs w:val="20"/>
        </w:rPr>
        <w:t xml:space="preserve">{@accessControlXml}</w:t>
      </w:r>
    </w:p>
    <w:p>
      <w:pPr>
        <w:spacing w:before="80" w:after="80"/>
      </w:pPr>
      <w:r>
        <w:rPr>
          <w:sz w:val="20"/>
          <w:szCs w:val="20"/>
        </w:rPr>
        <w:t xml:space="preserve">{@accessControlTableXml}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3.13 AUDIT TRAIL REVIEW</w:t>
      </w:r>
    </w:p>
    <w:p>
      <w:pPr>
        <w:spacing w:before="80" w:after="80"/>
      </w:pPr>
      <w:r>
        <w:rPr>
          <w:sz w:val="20"/>
          <w:szCs w:val="20"/>
        </w:rPr>
        <w:t xml:space="preserve">{@auditTrailXml}</w:t>
      </w:r>
    </w:p>
    <w:p>
      <w:pPr>
        <w:spacing w:before="80" w:after="80"/>
      </w:pPr>
      <w:r>
        <w:rPr>
          <w:sz w:val="20"/>
          <w:szCs w:val="20"/>
        </w:rPr>
        <w:t xml:space="preserve">{@auditTrailTableXml}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3.14 COMPUTERIZED SYSTEM VALIDATION STATUS</w:t>
      </w:r>
    </w:p>
    <w:p>
      <w:pPr>
        <w:spacing w:before="80" w:after="80"/>
      </w:pPr>
      <w:r>
        <w:rPr>
          <w:sz w:val="20"/>
          <w:szCs w:val="20"/>
        </w:rPr>
        <w:t xml:space="preserve">{@csvStatusXml}</w:t>
      </w:r>
    </w:p>
    <w:p>
      <w:pPr>
        <w:spacing w:before="80" w:after="80"/>
      </w:pPr>
      <w:r>
        <w:rPr>
          <w:sz w:val="20"/>
          <w:szCs w:val="20"/>
        </w:rPr>
        <w:t xml:space="preserve">{@csvStatusTableXml}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4.0 DISCREPANCY / DEVIATIONS (If Any)</w:t>
      </w:r>
    </w:p>
    <w:p>
      <w:pPr>
        <w:spacing w:before="80" w:after="80"/>
      </w:pPr>
      <w:r>
        <w:rPr>
          <w:sz w:val="20"/>
          <w:szCs w:val="20"/>
        </w:rPr>
        <w:t xml:space="preserve">{@discrepanciesXml}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5.0 SUMMARY AND CONCLUSION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5.1 SYSTEM TRENDS AND PATTERNS</w:t>
      </w:r>
    </w:p>
    <w:p>
      <w:pPr>
        <w:spacing w:before="80" w:after="80"/>
      </w:pPr>
      <w:r>
        <w:rPr>
          <w:sz w:val="20"/>
          <w:szCs w:val="20"/>
        </w:rPr>
        <w:t xml:space="preserve">{@systemTrendsXml}</w:t>
      </w:r>
    </w:p>
    <w:p>
      <w:pPr>
        <w:spacing w:before="80" w:after="80"/>
      </w:pPr>
      <w:r>
        <w:rPr>
          <w:sz w:val="20"/>
          <w:szCs w:val="20"/>
        </w:rPr>
        <w:t xml:space="preserve">{@systemTrendsTableXml}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5.2 RISK ASSESSMENT AND PRIORITIZED ACTIONS</w:t>
      </w:r>
    </w:p>
    <w:p>
      <w:pPr>
        <w:spacing w:before="80" w:after="80"/>
      </w:pPr>
      <w:r>
        <w:rPr>
          <w:sz w:val="20"/>
          <w:szCs w:val="20"/>
        </w:rPr>
        <w:t xml:space="preserve">Overall report risk grading: </w:t>
      </w:r>
      <w:r>
        <w:rPr>
          <w:sz w:val="20"/>
          <w:szCs w:val="20"/>
        </w:rPr>
        <w:t xml:space="preserve">{overallRiskGrade}</w:t>
      </w:r>
    </w:p>
    <w:p>
      <w:pPr>
        <w:spacing w:before="80" w:after="80"/>
      </w:pPr>
      <w:r>
        <w:rPr>
          <w:sz w:val="20"/>
          <w:szCs w:val="20"/>
        </w:rPr>
        <w:t xml:space="preserve">{@riskAssessmentXml}</w:t>
      </w:r>
    </w:p>
    <w:p>
      <w:pPr>
        <w:spacing w:before="80" w:after="80"/>
      </w:pPr>
      <w:r>
        <w:rPr>
          <w:sz w:val="20"/>
          <w:szCs w:val="20"/>
        </w:rPr>
        <w:t xml:space="preserve">{@riskActionsTableXml}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5.3 CONCLUSION</w:t>
      </w:r>
    </w:p>
    <w:p>
      <w:pPr>
        <w:spacing w:before="80" w:after="80"/>
      </w:pPr>
      <w:r>
        <w:rPr>
          <w:sz w:val="20"/>
          <w:szCs w:val="20"/>
        </w:rPr>
        <w:t xml:space="preserve">{@conclusionXml}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6.0 RECOMMENDATION</w:t>
      </w:r>
    </w:p>
    <w:p>
      <w:pPr>
        <w:spacing w:before="80" w:after="80"/>
      </w:pPr>
      <w:r>
        <w:rPr>
          <w:sz w:val="20"/>
          <w:szCs w:val="20"/>
        </w:rPr>
        <w:t xml:space="preserve">Recommendation: {recommendation}</w:t>
      </w:r>
    </w:p>
    <w:p>
      <w:pPr>
        <w:spacing w:before="80" w:after="80"/>
      </w:pPr>
      <w:r>
        <w:rPr>
          <w:sz w:val="20"/>
          <w:szCs w:val="20"/>
        </w:rPr>
        <w:t xml:space="preserve">{@recommendationXml}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7.0 ATTACHMENTS</w:t>
      </w:r>
    </w:p>
    <w:p>
      <w:pPr>
        <w:spacing w:before="80" w:after="80"/>
      </w:pPr>
      <w:r>
        <w:rPr>
          <w:sz w:val="20"/>
          <w:szCs w:val="20"/>
        </w:rPr>
        <w:t xml:space="preserve">{@attachmentsTableXml}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8.0 REVISION HISTORY</w:t>
      </w:r>
    </w:p>
    <w:p>
      <w:pPr>
        <w:spacing w:before="80" w:after="80"/>
      </w:pPr>
      <w:r>
        <w:rPr>
          <w:sz w:val="20"/>
          <w:szCs w:val="20"/>
        </w:rPr>
        <w:t xml:space="preserve">{@revisionHistoryTableXml}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9.0 APPROVAL PAGE</w:t>
      </w:r>
    </w:p>
    <w:p>
      <w:pPr>
        <w:spacing w:before="80" w:after="80"/>
      </w:pPr>
      <w:r>
        <w:rPr>
          <w:sz w:val="20"/>
          <w:szCs w:val="20"/>
        </w:rPr>
        <w:t xml:space="preserve">The report has been prepared, reviewed, and approved by the following personnel.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400"/>
        <w:gridCol w:w="3500"/>
        <w:gridCol w:w="3500"/>
      </w:tblGrid>
      <w:tr>
        <w:trPr>
          <w:tblHeader/>
        </w:trPr>
        <w:tc>
          <w:tcPr>
            <w:tcW w:w="34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w="35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Name and Designation</w:t>
            </w:r>
          </w:p>
        </w:tc>
        <w:tc>
          <w:tcPr>
            <w:tcW w:w="35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Sign &amp; date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Prepared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Quality Assurance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Reviewed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Production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Engineering and Utilities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Quality Assurance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Approved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Head - QA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</w:tbl>
    <w:p>
      <w:pPr>
        <w:spacing w:before="80" w:after="80"/>
      </w:pPr>
      <w:r>
        <w:rPr>
          <w:sz w:val="20"/>
          <w:szCs w:val="20"/>
        </w:rPr>
        <w:t xml:space="preserve">{approval}</w:t>
      </w:r>
    </w:p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/DP/QA/014/F22-R00</w:t>
    </w:r>
    <w:r w:rsidR="006A6A70">
      <w:rPr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Reference SOP No.: SOP/DP/QA/014</w:t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 w:rsidR="00567893">
      <w:rPr>
        <w:b/>
        <w:sz w:val="24"/>
        <w:szCs w:val="24"/>
      </w:rPr>
      <w:t/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Equipment Lifecycle Report</w:t>
          </w:r>
        </w:p>
      </w:tc>
    </w:tr>
    <w:tr>
      <w:tc>
        <w:tcPr>
          <w:tcW w:w="5000" w:type="pct"/>
          <w:gridSpan w:val="2"/>
          <w:vAlign w:val="center"/>
        </w:tcPr>
        <w:tbl>
          <w:tblPr>
            <w:tblW w:w="5000" w:type="pct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</w:tblPr>
          <w:tblGrid>
            <w:gridCol w:w="3486"/>
            <w:gridCol w:w="3486"/>
            <w:gridCol w:w="3487"/>
          </w:tblGrid>
          <w:tr>
            <w:tc>
              <w:tcPr>
                <w:tcW w:w="3486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Dept.: Quality Assurance</w:t>
                </w:r>
              </w:p>
            </w:tc>
            <w:tc>
              <w:tcPr>
                <w:tcW w:w="3486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Format No.: SOP/DP/QA/014/F22-R00</w:t>
                </w:r>
              </w:p>
            </w:tc>
            <w:tc>
              <w:tcPr>
                <w:tcW w:w="3487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Revision No: R00</w:t>
                </w:r>
              </w:p>
            </w:tc>
          </w:tr>
        </w:tbl>
        <w:p/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