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</w:t>
            </w:r>
            <w:r>
              <w:rPr>
                <w:sz w:val="24"/>
                <w:szCs w:val="24"/>
              </w:rPr>
              <w:t xml:space="preserve">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Man: </w:t>
            </w:r>
            <w:r>
              <w:rPr>
                <w:sz w:val="24"/>
                <w:szCs w:val="24"/>
              </w:rPr>
              <w:t xml:space="preserve">{sixMMan}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Machine: </w:t>
            </w:r>
            <w:r>
              <w:rPr>
                <w:sz w:val="24"/>
                <w:szCs w:val="24"/>
              </w:rPr>
              <w:t xml:space="preserve">{sixMMachine}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Measurement: </w:t>
            </w:r>
            <w:r>
              <w:rPr>
                <w:sz w:val="24"/>
                <w:szCs w:val="24"/>
              </w:rPr>
              <w:t xml:space="preserve">{sixMMeasurement}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Material: </w:t>
            </w:r>
            <w:r>
              <w:rPr>
                <w:sz w:val="24"/>
                <w:szCs w:val="24"/>
              </w:rPr>
              <w:t xml:space="preserve">{sixMMaterial}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Method: </w:t>
            </w:r>
            <w:r>
              <w:rPr>
                <w:sz w:val="24"/>
                <w:szCs w:val="24"/>
              </w:rPr>
              <w:t xml:space="preserve">{sixMMethod}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Milieu (Environment): </w:t>
            </w:r>
            <w:r>
              <w:rPr>
                <w:sz w:val="24"/>
                <w:szCs w:val="24"/>
              </w:rPr>
              <w:t xml:space="preserve">{sixMMilieu}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 </w:t>
            </w:r>
            <w:r>
              <w:rPr>
                <w:sz w:val="24"/>
                <w:szCs w:val="24"/>
              </w:rPr>
              <w:t xml:space="preserve">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{@analyzeOtherToolsXml}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{@impactAssessmentXml}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Improve: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{@improveNarrativeXml}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Control: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{@controlNarrativeXml}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{@preventiveActionsXml}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{@conclusionNarrativeXml}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106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 w:rsidR="00F15218" w:rsidRPr="007C1BAD" w14:paraId="6665DE4D" w14:textId="77777777" w:rsidTr="001278B9">
        <w:trPr>
          <w:trHeight w:val="863"/>
          <w:jc w:val="center"/>
        </w:trPr>
        <w:tc>
          <w:tcPr>
            <w:tcW w:w="988" w:type="pct"/>
            <w:vAlign w:val="center"/>
          </w:tcPr>
          <w:p w14:paraId="16714A71" w14:textId="41C91C4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Prepared                   By QC</w:t>
            </w:r>
          </w:p>
          <w:p w14:paraId="13419850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03" w:type="pct"/>
            <w:vAlign w:val="center"/>
          </w:tcPr>
          <w:p w14:paraId="5CC5974F" w14:textId="77777777" w:rsidR="001278B9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Reviewed</w:t>
            </w:r>
            <w:r w:rsidR="00DC5E1C" w:rsidRPr="007C1BAD">
              <w:rPr>
                <w:b/>
                <w:bCs/>
                <w:iCs/>
                <w:sz w:val="24"/>
                <w:szCs w:val="24"/>
              </w:rPr>
              <w:t xml:space="preserve"> </w:t>
            </w:r>
          </w:p>
          <w:p w14:paraId="567CDE92" w14:textId="5BF18D46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0F737902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161" w:type="pct"/>
            <w:vAlign w:val="center"/>
          </w:tcPr>
          <w:p w14:paraId="5BF5FFC4" w14:textId="471053D5" w:rsidR="00F15218" w:rsidRPr="007C1BAD" w:rsidRDefault="00DC5E1C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           </w:t>
            </w:r>
            <w:r w:rsidR="00F15218"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0761EB55" w14:textId="2EBE54CD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528DC949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033" w:type="pct"/>
            <w:vAlign w:val="center"/>
          </w:tcPr>
          <w:p w14:paraId="246FD235" w14:textId="2F63B29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70E0092D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5DCCFFF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15" w:type="pct"/>
            <w:vAlign w:val="center"/>
          </w:tcPr>
          <w:p w14:paraId="1C84102E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Approved </w:t>
            </w:r>
          </w:p>
          <w:p w14:paraId="116D74B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2F22D583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F15218" w:rsidRPr="007E1B23" w14:paraId="27A45355" w14:textId="77777777" w:rsidTr="004604B9">
        <w:trPr>
          <w:trHeight w:val="1088"/>
          <w:jc w:val="center"/>
        </w:trPr>
        <w:tc>
          <w:tcPr>
            <w:tcW w:w="988" w:type="pct"/>
          </w:tcPr>
          <w:p w14:paraId="6D0E1666" w14:textId="77777777" w:rsidR="00F15218" w:rsidRPr="007C1BAD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03" w:type="pct"/>
          </w:tcPr>
          <w:p w14:paraId="507E2C82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/>
            </w:r>
          </w:p>
        </w:tc>
        <w:tc>
          <w:tcPr>
            <w:tcW w:w="1161" w:type="pct"/>
          </w:tcPr>
          <w:p w14:paraId="137E4EF8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33" w:type="pct"/>
          </w:tcPr>
          <w:p w14:paraId="6FA84E77" w14:textId="7C3EDA91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15" w:type="pct"/>
          </w:tcPr>
          <w:p w14:paraId="26D72B49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Andrei — Document Review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/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/>
          </w:r>
          <w:r w:rsidR="00D07FF1">
            <w:rPr>
              <w:b/>
              <w:sz w:val="28"/>
              <w:szCs w:val="28"/>
            </w:rPr>
            <w:t>Andrei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/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/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