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gif" ContentType="image/gif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widowControl/>
        <w:bidi w:val="0"/>
        <w:spacing w:before="0" w:after="140"/>
        <w:ind w:hanging="0" w:start="0" w:end="0"/>
        <w:jc w:val="start"/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  <w:u w:val="single"/>
          <w:shd w:fill="F0F2F5" w:val="clear"/>
        </w:rPr>
      </w:pPr>
      <w:r>
        <w:drawing>
          <wp:anchor behindDoc="0" distT="0" distB="0" distL="0" distR="0" simplePos="0" locked="0" layoutInCell="1" allowOverlap="1" relativeHeight="2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19075" cy="228600"/>
            <wp:effectExtent l="0" t="0" r="0" b="0"/>
            <wp:wrapNone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3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19075" cy="228600"/>
            <wp:effectExtent l="0" t="0" r="0" b="0"/>
            <wp:wrapNone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19075" cy="228600"/>
            <wp:effectExtent l="0" t="0" r="0" b="0"/>
            <wp:wrapNone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5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09675" cy="171450"/>
            <wp:effectExtent l="0" t="0" r="0" b="0"/>
            <wp:wrapNone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6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95400" cy="228600"/>
            <wp:effectExtent l="0" t="0" r="0" b="0"/>
            <wp:wrapNone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7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295400" cy="228600"/>
            <wp:effectExtent l="0" t="0" r="0" b="0"/>
            <wp:wrapNone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8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133475" cy="209550"/>
            <wp:effectExtent l="0" t="0" r="0" b="0"/>
            <wp:wrapNone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9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1133475" cy="209550"/>
            <wp:effectExtent l="0" t="0" r="0" b="0"/>
            <wp:wrapNone/>
            <wp:docPr id="8" name="Image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0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19075" cy="228600"/>
            <wp:effectExtent l="0" t="0" r="0" b="0"/>
            <wp:wrapNone/>
            <wp:docPr id="9" name="Image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9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0" distR="0" simplePos="0" locked="0" layoutInCell="1" allowOverlap="1" relativeHeight="11">
            <wp:simplePos x="0" y="0"/>
            <wp:positionH relativeFrom="column">
              <wp:posOffset>0</wp:posOffset>
            </wp:positionH>
            <wp:positionV relativeFrom="paragraph">
              <wp:posOffset>635</wp:posOffset>
            </wp:positionV>
            <wp:extent cx="219075" cy="228600"/>
            <wp:effectExtent l="0" t="0" r="0" b="0"/>
            <wp:wrapNone/>
            <wp:docPr id="10" name="Image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oogle Sans;Arial;sans-serif" w:hAnsi="Google Sans;Arial;sans-serif"/>
          <w:b/>
          <w:bCs/>
          <w:i w:val="false"/>
          <w:caps w:val="false"/>
          <w:smallCaps w:val="false"/>
          <w:color w:val="0A0A0A"/>
          <w:spacing w:val="0"/>
          <w:sz w:val="24"/>
          <w:szCs w:val="24"/>
          <w:u w:val="single"/>
          <w:shd w:fill="F0F2F5" w:val="clear"/>
        </w:rPr>
        <w:t>what exactly sns.boxplot does in the background</w:t>
      </w:r>
    </w:p>
    <w:p>
      <w:pPr>
        <w:pStyle w:val="Normal"/>
        <w:widowControl/>
        <w:bidi w:val="0"/>
        <w:spacing w:lineRule="atLeast" w:line="360" w:before="0" w:after="180"/>
        <w:ind w:hanging="0" w:start="0" w:end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To understand exactly what </w:t>
      </w:r>
    </w:p>
    <w:p>
      <w:pPr>
        <w:pStyle w:val="Normal"/>
        <w:widowControl/>
        <w:bidi w:val="0"/>
        <w:spacing w:lineRule="atLeast" w:line="330" w:before="0" w:after="180"/>
        <w:ind w:hanging="0" w:start="0" w:end="0"/>
        <w:rPr/>
      </w:pPr>
      <w:r>
        <w:rPr>
          <w:rStyle w:val="SourceText"/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1"/>
          <w:bdr w:val="single" w:sz="6" w:space="2" w:color="F0F2F5"/>
          <w:shd w:fill="F0F2F5" w:val="clear"/>
        </w:rPr>
        <w:t>sns.boxplot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does, you have to look at it as a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mathematical engine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first and a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drawing tool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second. When you pass a list of numbers to it, it performs a specific 5-step calculation before a single pixel is drawn on your screen.</w:t>
      </w:r>
    </w:p>
    <w:p>
      <w:pPr>
        <w:pStyle w:val="Normal"/>
        <w:widowControl/>
        <w:bidi w:val="0"/>
        <w:spacing w:lineRule="atLeast" w:line="360" w:before="0" w:after="180"/>
        <w:ind w:hanging="0" w:start="0" w:end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Here is the "behind-the-scenes" logic:</w:t>
      </w:r>
    </w:p>
    <w:p>
      <w:pPr>
        <w:pStyle w:val="Normal"/>
        <w:widowControl/>
        <w:bidi w:val="0"/>
        <w:spacing w:lineRule="atLeast" w:line="420" w:before="0" w:after="360"/>
        <w:ind w:hanging="0" w:start="0" w:end="0"/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  <w:t>1. Sorting the Data</w:t>
      </w:r>
    </w:p>
    <w:p>
      <w:pPr>
        <w:pStyle w:val="Normal"/>
        <w:widowControl/>
        <w:bidi w:val="0"/>
        <w:spacing w:lineRule="atLeast" w:line="360" w:before="0" w:after="180"/>
        <w:ind w:hanging="0" w:start="0" w:end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The first thing the function does is sort your data from smallest to largest. You cannot find quartiles or medians without an ordered list.</w:t>
      </w:r>
    </w:p>
    <w:p>
      <w:pPr>
        <w:pStyle w:val="HorizontalLine"/>
        <w:widowControl/>
        <w:bidi w:val="0"/>
        <w:ind w:hanging="0"/>
        <w:rPr/>
      </w:pPr>
      <w:r>
        <w:rPr/>
      </w:r>
    </w:p>
    <w:p>
      <w:pPr>
        <w:pStyle w:val="BodyText"/>
        <w:widowControl/>
        <w:bidi w:val="0"/>
        <w:spacing w:lineRule="atLeast" w:line="420" w:before="0" w:after="360"/>
        <w:ind w:hanging="0" w:start="0" w:end="0"/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  <w:t>2. Finding the 3 Key Landmarks (The Box)</w:t>
      </w:r>
    </w:p>
    <w:p>
      <w:pPr>
        <w:pStyle w:val="BodyText"/>
        <w:widowControl/>
        <w:bidi w:val="0"/>
        <w:spacing w:lineRule="atLeast" w:line="360" w:before="0" w:after="180"/>
        <w:ind w:hanging="0" w:start="0" w:end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The "Box" part of the plot represents the middle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50%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of your data (the "meat" of the distribution).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start="0" w:end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 xml:space="preserve">The Median 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(Q2)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(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60" w:before="0" w:after="180"/>
        <w:ind w:hanging="0" w:start="0" w:end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):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It finds the middle value. This becomes the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vertical line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inside the box.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start="0" w:end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The 1st Quartile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(Q1)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 xml:space="preserve"> (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60" w:before="0" w:after="180"/>
        <w:ind w:hanging="0" w:start="0" w:end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):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It finds the 25th percentile. This becomes the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left edge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of the box.</w:t>
      </w:r>
    </w:p>
    <w:p>
      <w:pPr>
        <w:pStyle w:val="BodyText"/>
        <w:widowControl/>
        <w:numPr>
          <w:ilvl w:val="0"/>
          <w:numId w:val="1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start="0" w:end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 xml:space="preserve">The 3rd Quartile 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(Q3)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(</w:t>
      </w:r>
    </w:p>
    <w:p>
      <w:pPr>
        <w:pStyle w:val="BodyText"/>
        <w:widowControl/>
        <w:numPr>
          <w:ilvl w:val="0"/>
          <w:numId w:val="0"/>
        </w:numPr>
        <w:pBdr/>
        <w:bidi w:val="0"/>
        <w:spacing w:lineRule="atLeast" w:line="360" w:before="0" w:after="180"/>
        <w:ind w:hanging="0" w:start="0" w:end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):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It finds the 75th percentile. This becomes the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right edge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of the box.</w:t>
      </w:r>
    </w:p>
    <w:p>
      <w:pPr>
        <w:pStyle w:val="HorizontalLine"/>
        <w:widowControl/>
        <w:bidi w:val="0"/>
        <w:ind w:hanging="0"/>
        <w:rPr/>
      </w:pPr>
      <w:r>
        <w:rPr/>
      </w:r>
    </w:p>
    <w:p>
      <w:pPr>
        <w:pStyle w:val="BodyText"/>
        <w:widowControl/>
        <w:bidi w:val="0"/>
        <w:spacing w:lineRule="atLeast" w:line="420" w:before="0" w:after="360"/>
        <w:ind w:hanging="0" w:start="0" w:end="0"/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  <w:t>3. Calculating the IQR (The "Measuring Stick")</w:t>
      </w:r>
    </w:p>
    <w:p>
      <w:pPr>
        <w:pStyle w:val="BodyText"/>
        <w:widowControl/>
        <w:bidi w:val="0"/>
        <w:spacing w:lineRule="atLeast" w:line="360" w:before="360" w:after="360"/>
        <w:ind w:hanging="0" w:start="360" w:end="36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This is the most important mathematical step. It calculates the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Interquartile Range (IQR)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 xml:space="preserve">: 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IQR = Q3-Q1</w:t>
      </w:r>
    </w:p>
    <w:p>
      <w:pPr>
        <w:pStyle w:val="BodyText"/>
        <w:widowControl/>
        <w:bidi w:val="0"/>
        <w:spacing w:lineRule="atLeast" w:line="360" w:before="0" w:after="180"/>
        <w:ind w:hanging="0" w:start="0" w:end="0"/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The IQR tells the code how "wide" the box is. This number is used to decide how long the whiskers should be and which points are "outliers."</w:t>
      </w:r>
    </w:p>
    <w:p>
      <w:pPr>
        <w:pStyle w:val="HorizontalLine"/>
        <w:widowControl/>
        <w:bidi w:val="0"/>
        <w:ind w:hanging="0"/>
        <w:rPr/>
      </w:pPr>
      <w:r>
        <w:rPr/>
      </w:r>
    </w:p>
    <w:p>
      <w:pPr>
        <w:pStyle w:val="BodyText"/>
        <w:widowControl/>
        <w:bidi w:val="0"/>
        <w:spacing w:lineRule="atLeast" w:line="420" w:before="0" w:after="360"/>
        <w:ind w:hanging="0" w:start="0" w:end="0"/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</w:r>
    </w:p>
    <w:p>
      <w:pPr>
        <w:pStyle w:val="BodyText"/>
        <w:widowControl/>
        <w:bidi w:val="0"/>
        <w:spacing w:lineRule="atLeast" w:line="420" w:before="0" w:after="360"/>
        <w:ind w:hanging="0" w:start="0" w:end="0"/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  <w:t>4. Determining the "Fences" (The Whiskers)</w:t>
      </w:r>
    </w:p>
    <w:p>
      <w:pPr>
        <w:pStyle w:val="BodyText"/>
        <w:widowControl/>
        <w:bidi w:val="0"/>
        <w:spacing w:lineRule="atLeast" w:line="360" w:before="0" w:after="180"/>
        <w:ind w:hanging="0" w:start="0" w:end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By default, Seaborn uses the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Tukey method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to draw whiskers. It calculates "fences" to see where "normal" data ends: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start="0" w:end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Upper Fence: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Q3 + (1.5*IQR)</w:t>
      </w:r>
    </w:p>
    <w:p>
      <w:pPr>
        <w:pStyle w:val="BodyText"/>
        <w:widowControl/>
        <w:numPr>
          <w:ilvl w:val="0"/>
          <w:numId w:val="2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start="0" w:end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Lower Fence: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Q1 + (1.5*IQR)</w:t>
      </w:r>
    </w:p>
    <w:p>
      <w:pPr>
        <w:pStyle w:val="BodyText"/>
        <w:widowControl/>
        <w:bidi w:val="0"/>
        <w:spacing w:lineRule="atLeast" w:line="360" w:before="0" w:after="180"/>
        <w:ind w:hanging="0" w:start="0" w:end="0"/>
        <w:rPr/>
      </w:pP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Crucial Point: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The whiskers do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not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necessarily go to these fences. They extend to the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actual data point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that is closest to the fence without going over it.</w:t>
      </w:r>
    </w:p>
    <w:p>
      <w:pPr>
        <w:pStyle w:val="HorizontalLine"/>
        <w:widowControl/>
        <w:bidi w:val="0"/>
        <w:ind w:hanging="0"/>
        <w:rPr/>
      </w:pPr>
      <w:r>
        <w:rPr/>
      </w:r>
    </w:p>
    <w:p>
      <w:pPr>
        <w:pStyle w:val="BodyText"/>
        <w:widowControl/>
        <w:bidi w:val="0"/>
        <w:spacing w:lineRule="atLeast" w:line="420" w:before="0" w:after="360"/>
        <w:ind w:hanging="0" w:start="0" w:end="0"/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  <w:t>5. Identifying Outliers (The Dots)</w:t>
      </w:r>
    </w:p>
    <w:p>
      <w:pPr>
        <w:pStyle w:val="BodyText"/>
        <w:widowControl/>
        <w:bidi w:val="0"/>
        <w:spacing w:lineRule="atLeast" w:line="360" w:before="0" w:after="180"/>
        <w:ind w:hanging="0" w:start="0" w:end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Any data point in your list that falls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outside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those fences is labeled an "outlier."</w:t>
      </w:r>
    </w:p>
    <w:p>
      <w:pPr>
        <w:pStyle w:val="BodyText"/>
        <w:widowControl/>
        <w:numPr>
          <w:ilvl w:val="0"/>
          <w:numId w:val="3"/>
        </w:numPr>
        <w:pBdr/>
        <w:tabs>
          <w:tab w:val="clear" w:pos="709"/>
          <w:tab w:val="left" w:pos="0" w:leader="none"/>
        </w:tabs>
        <w:bidi w:val="0"/>
        <w:spacing w:lineRule="atLeast" w:line="360" w:before="0" w:after="180"/>
        <w:ind w:hanging="283" w:start="0" w:end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Instead of being included in the whiskers, these points are drawn as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individual dots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(often called "fliers").</w:t>
      </w:r>
    </w:p>
    <w:p>
      <w:pPr>
        <w:pStyle w:val="HorizontalLine"/>
        <w:widowControl/>
        <w:bidi w:val="0"/>
        <w:ind w:hanging="0"/>
        <w:rPr/>
      </w:pPr>
      <w:r>
        <w:rPr/>
      </w:r>
    </w:p>
    <w:p>
      <w:pPr>
        <w:pStyle w:val="BodyText"/>
        <w:widowControl/>
        <w:bidi w:val="0"/>
        <w:spacing w:lineRule="atLeast" w:line="420" w:before="0" w:after="360"/>
        <w:ind w:hanging="0" w:start="0" w:end="0"/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  <w:t>Summary Table: Calculation vs. Visual</w:t>
      </w:r>
    </w:p>
    <w:tbl>
      <w:tblPr>
        <w:tblW w:w="5453" w:type="dxa"/>
        <w:jc w:val="start"/>
        <w:tblInd w:w="0" w:type="dxa"/>
        <w:tblLayout w:type="fixed"/>
        <w:tblCellMar>
          <w:top w:w="0" w:type="dxa"/>
          <w:start w:w="0" w:type="dxa"/>
          <w:bottom w:w="120" w:type="dxa"/>
          <w:end w:w="0" w:type="dxa"/>
        </w:tblCellMar>
      </w:tblPr>
      <w:tblGrid>
        <w:gridCol w:w="2374"/>
        <w:gridCol w:w="3079"/>
      </w:tblGrid>
      <w:tr>
        <w:trPr/>
        <w:tc>
          <w:tcPr>
            <w:tcW w:w="2374" w:type="dxa"/>
            <w:tcBorders>
              <w:bottom w:val="single" w:sz="6" w:space="0" w:color="DCDFE5"/>
            </w:tcBorders>
            <w:vAlign w:val="center"/>
          </w:tcPr>
          <w:p>
            <w:pPr>
              <w:pStyle w:val="TableHeading"/>
              <w:bidi w:val="0"/>
              <w:spacing w:lineRule="atLeast" w:line="330"/>
              <w:ind w:hanging="0" w:start="0" w:end="0"/>
              <w:jc w:val="start"/>
              <w:rPr>
                <w:rFonts w:ascii="Google Sans;Arial;sans-serif" w:hAnsi="Google Sans;Arial;sans-serif"/>
                <w:b/>
                <w:spacing w:val="0"/>
                <w:sz w:val="21"/>
              </w:rPr>
            </w:pPr>
            <w:r>
              <w:rPr>
                <w:rFonts w:ascii="Google Sans;Arial;sans-serif" w:hAnsi="Google Sans;Arial;sans-serif"/>
                <w:b/>
                <w:spacing w:val="0"/>
                <w:sz w:val="21"/>
              </w:rPr>
              <w:t>Mathematical Result</w:t>
            </w:r>
          </w:p>
        </w:tc>
        <w:tc>
          <w:tcPr>
            <w:tcW w:w="3079" w:type="dxa"/>
            <w:tcBorders>
              <w:bottom w:val="single" w:sz="6" w:space="0" w:color="DCDFE5"/>
            </w:tcBorders>
            <w:vAlign w:val="center"/>
          </w:tcPr>
          <w:p>
            <w:pPr>
              <w:pStyle w:val="TableHeading"/>
              <w:bidi w:val="0"/>
              <w:spacing w:lineRule="atLeast" w:line="330"/>
              <w:ind w:hanging="0" w:start="0" w:end="0"/>
              <w:jc w:val="start"/>
              <w:rPr>
                <w:rFonts w:ascii="Google Sans;Arial;sans-serif" w:hAnsi="Google Sans;Arial;sans-serif"/>
                <w:b/>
                <w:spacing w:val="0"/>
                <w:sz w:val="21"/>
              </w:rPr>
            </w:pPr>
            <w:r>
              <w:rPr>
                <w:rFonts w:ascii="Google Sans;Arial;sans-serif" w:hAnsi="Google Sans;Arial;sans-serif"/>
                <w:b/>
                <w:spacing w:val="0"/>
                <w:sz w:val="21"/>
              </w:rPr>
              <w:t>Visual Element</w:t>
            </w:r>
          </w:p>
        </w:tc>
      </w:tr>
      <w:tr>
        <w:trPr/>
        <w:tc>
          <w:tcPr>
            <w:tcW w:w="2374" w:type="dxa"/>
            <w:tcBorders>
              <w:bottom w:val="single" w:sz="6" w:space="0" w:color="DCDFE5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Google Sans;Arial;sans-serif" w:hAnsi="Google Sans;Arial;sans-serif"/>
                <w:b/>
                <w:color w:val="0A0A0A"/>
                <w:spacing w:val="0"/>
                <w:sz w:val="21"/>
              </w:rPr>
              <w:t>Median</w:t>
            </w:r>
          </w:p>
        </w:tc>
        <w:tc>
          <w:tcPr>
            <w:tcW w:w="3079" w:type="dxa"/>
            <w:tcBorders>
              <w:bottom w:val="single" w:sz="6" w:space="0" w:color="DCDFE5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start="0" w:end="0"/>
              <w:jc w:val="start"/>
              <w:rPr>
                <w:rFonts w:ascii="Google Sans;Arial;sans-serif" w:hAnsi="Google Sans;Arial;sans-serif"/>
                <w:b w:val="false"/>
                <w:color w:val="0A0A0A"/>
                <w:spacing w:val="0"/>
                <w:sz w:val="21"/>
              </w:rPr>
            </w:pPr>
            <w:r>
              <w:rPr>
                <w:rFonts w:ascii="Google Sans;Arial;sans-serif" w:hAnsi="Google Sans;Arial;sans-serif"/>
                <w:b w:val="false"/>
                <w:color w:val="0A0A0A"/>
                <w:spacing w:val="0"/>
                <w:sz w:val="21"/>
              </w:rPr>
              <w:t>The line inside the box</w:t>
            </w:r>
          </w:p>
        </w:tc>
      </w:tr>
      <w:tr>
        <w:trPr/>
        <w:tc>
          <w:tcPr>
            <w:tcW w:w="2374" w:type="dxa"/>
            <w:tcBorders>
              <w:bottom w:val="single" w:sz="6" w:space="0" w:color="DCDFE5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Google Sans;Arial;sans-serif" w:hAnsi="Google Sans;Arial;sans-serif"/>
                <w:b/>
                <w:color w:val="0A0A0A"/>
                <w:spacing w:val="0"/>
                <w:sz w:val="21"/>
              </w:rPr>
              <w:t>Q1 to Q3</w:t>
            </w:r>
          </w:p>
        </w:tc>
        <w:tc>
          <w:tcPr>
            <w:tcW w:w="3079" w:type="dxa"/>
            <w:tcBorders>
              <w:bottom w:val="single" w:sz="6" w:space="0" w:color="DCDFE5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start="0" w:end="0"/>
              <w:jc w:val="start"/>
              <w:rPr>
                <w:rFonts w:ascii="Google Sans;Arial;sans-serif" w:hAnsi="Google Sans;Arial;sans-serif"/>
                <w:b w:val="false"/>
                <w:color w:val="0A0A0A"/>
                <w:spacing w:val="0"/>
                <w:sz w:val="21"/>
              </w:rPr>
            </w:pPr>
            <w:r>
              <w:rPr>
                <w:rFonts w:ascii="Google Sans;Arial;sans-serif" w:hAnsi="Google Sans;Arial;sans-serif"/>
                <w:b w:val="false"/>
                <w:color w:val="0A0A0A"/>
                <w:spacing w:val="0"/>
                <w:sz w:val="21"/>
              </w:rPr>
              <w:t>The total width of the box</w:t>
            </w:r>
          </w:p>
        </w:tc>
      </w:tr>
      <w:tr>
        <w:trPr/>
        <w:tc>
          <w:tcPr>
            <w:tcW w:w="2374" w:type="dxa"/>
            <w:tcBorders>
              <w:bottom w:val="single" w:sz="6" w:space="0" w:color="DCDFE5"/>
            </w:tcBorders>
            <w:tcMar>
              <w:bottom w:w="180" w:type="dxa"/>
            </w:tcMar>
            <w:vAlign w:val="center"/>
          </w:tcPr>
          <w:p>
            <w:pPr>
              <w:pStyle w:val="BodyText"/>
              <w:widowControl/>
              <w:pBdr/>
              <w:bidi w:val="0"/>
              <w:spacing w:lineRule="atLeast" w:line="360" w:before="0" w:after="180"/>
              <w:ind w:hanging="0" w:start="0" w:end="0"/>
              <w:rPr/>
            </w:pPr>
            <w:r>
              <w:rPr>
                <w:rFonts w:ascii="Google Sans;Arial;sans-serif" w:hAnsi="Google Sans;Arial;sans-serif"/>
                <w:b w:val="false"/>
                <w:i w:val="false"/>
                <w:caps w:val="false"/>
                <w:smallCaps w:val="false"/>
                <w:color w:val="0A0A0A"/>
                <w:spacing w:val="0"/>
                <w:sz w:val="24"/>
              </w:rPr>
              <w:t>Q1 + (1.5*IQR)</w:t>
            </w:r>
          </w:p>
        </w:tc>
        <w:tc>
          <w:tcPr>
            <w:tcW w:w="3079" w:type="dxa"/>
            <w:tcBorders>
              <w:bottom w:val="single" w:sz="6" w:space="0" w:color="DCDFE5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start="0" w:end="0"/>
              <w:jc w:val="start"/>
              <w:rPr>
                <w:rFonts w:ascii="Google Sans;Arial;sans-serif" w:hAnsi="Google Sans;Arial;sans-serif"/>
                <w:b w:val="false"/>
                <w:color w:val="0A0A0A"/>
                <w:spacing w:val="0"/>
                <w:sz w:val="21"/>
              </w:rPr>
            </w:pPr>
            <w:r>
              <w:rPr>
                <w:rFonts w:ascii="Google Sans;Arial;sans-serif" w:hAnsi="Google Sans;Arial;sans-serif"/>
                <w:b w:val="false"/>
                <w:color w:val="0A0A0A"/>
                <w:spacing w:val="0"/>
                <w:sz w:val="21"/>
              </w:rPr>
              <w:t>The limit for the left whisker</w:t>
            </w:r>
          </w:p>
        </w:tc>
      </w:tr>
      <w:tr>
        <w:trPr/>
        <w:tc>
          <w:tcPr>
            <w:tcW w:w="2374" w:type="dxa"/>
            <w:tcBorders>
              <w:bottom w:val="single" w:sz="6" w:space="0" w:color="DCDFE5"/>
            </w:tcBorders>
            <w:tcMar>
              <w:bottom w:w="180" w:type="dxa"/>
            </w:tcMar>
            <w:vAlign w:val="center"/>
          </w:tcPr>
          <w:p>
            <w:pPr>
              <w:pStyle w:val="BodyText"/>
              <w:widowControl/>
              <w:pBdr/>
              <w:bidi w:val="0"/>
              <w:spacing w:lineRule="atLeast" w:line="360" w:before="0" w:after="180"/>
              <w:ind w:hanging="0" w:start="0" w:end="0"/>
              <w:rPr/>
            </w:pPr>
            <w:r>
              <w:rPr>
                <w:rFonts w:ascii="Google Sans;Arial;sans-serif" w:hAnsi="Google Sans;Arial;sans-serif"/>
                <w:b w:val="false"/>
                <w:i w:val="false"/>
                <w:caps w:val="false"/>
                <w:smallCaps w:val="false"/>
                <w:color w:val="0A0A0A"/>
                <w:spacing w:val="0"/>
                <w:sz w:val="24"/>
              </w:rPr>
              <w:t>Q3 + (1.5*IQR)</w:t>
            </w:r>
          </w:p>
        </w:tc>
        <w:tc>
          <w:tcPr>
            <w:tcW w:w="3079" w:type="dxa"/>
            <w:tcBorders>
              <w:bottom w:val="single" w:sz="6" w:space="0" w:color="DCDFE5"/>
            </w:tcBorders>
            <w:tcMar>
              <w:bottom w:w="18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start="0" w:end="0"/>
              <w:jc w:val="start"/>
              <w:rPr>
                <w:rFonts w:ascii="Google Sans;Arial;sans-serif" w:hAnsi="Google Sans;Arial;sans-serif"/>
                <w:b w:val="false"/>
                <w:color w:val="0A0A0A"/>
                <w:spacing w:val="0"/>
                <w:sz w:val="21"/>
              </w:rPr>
            </w:pPr>
            <w:r>
              <w:rPr>
                <w:rFonts w:ascii="Google Sans;Arial;sans-serif" w:hAnsi="Google Sans;Arial;sans-serif"/>
                <w:b w:val="false"/>
                <w:color w:val="0A0A0A"/>
                <w:spacing w:val="0"/>
                <w:sz w:val="21"/>
              </w:rPr>
              <w:t>The limit for the right whisker</w:t>
            </w:r>
          </w:p>
        </w:tc>
      </w:tr>
      <w:tr>
        <w:trPr/>
        <w:tc>
          <w:tcPr>
            <w:tcW w:w="2374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ind w:hanging="0" w:start="0" w:end="0"/>
              <w:jc w:val="start"/>
              <w:rPr/>
            </w:pPr>
            <w:r>
              <w:rPr>
                <w:rStyle w:val="Strong"/>
                <w:rFonts w:ascii="Google Sans;Arial;sans-serif" w:hAnsi="Google Sans;Arial;sans-serif"/>
                <w:b/>
                <w:color w:val="0A0A0A"/>
                <w:spacing w:val="0"/>
                <w:sz w:val="21"/>
              </w:rPr>
              <w:t>Values beyond fences</w:t>
            </w:r>
          </w:p>
        </w:tc>
        <w:tc>
          <w:tcPr>
            <w:tcW w:w="3079" w:type="dxa"/>
            <w:tcBorders/>
            <w:tcMar>
              <w:bottom w:w="0" w:type="dxa"/>
            </w:tcMar>
            <w:vAlign w:val="center"/>
          </w:tcPr>
          <w:p>
            <w:pPr>
              <w:pStyle w:val="TableContents"/>
              <w:bidi w:val="0"/>
              <w:spacing w:lineRule="atLeast" w:line="330"/>
              <w:jc w:val="start"/>
              <w:rPr>
                <w:rFonts w:ascii="Google Sans;Arial;sans-serif" w:hAnsi="Google Sans;Arial;sans-serif"/>
                <w:b w:val="false"/>
                <w:color w:val="0A0A0A"/>
                <w:spacing w:val="0"/>
                <w:sz w:val="21"/>
              </w:rPr>
            </w:pPr>
            <w:r>
              <w:rPr>
                <w:rFonts w:ascii="Google Sans;Arial;sans-serif" w:hAnsi="Google Sans;Arial;sans-serif"/>
                <w:b w:val="false"/>
                <w:color w:val="0A0A0A"/>
                <w:spacing w:val="0"/>
                <w:sz w:val="21"/>
              </w:rPr>
              <w:t>Individual dots (Outliers)</w:t>
            </w:r>
          </w:p>
        </w:tc>
      </w:tr>
    </w:tbl>
    <w:p>
      <w:pPr>
        <w:pStyle w:val="BodyText"/>
        <w:widowControl/>
        <w:bidi w:val="0"/>
        <w:spacing w:lineRule="atLeast" w:line="420" w:before="0" w:after="360"/>
        <w:ind w:hanging="0" w:start="0" w:end="0"/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</w:pPr>
      <w:r>
        <w:rPr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30"/>
        </w:rPr>
        <w:t>Why this helps you check for Normality:</w:t>
      </w:r>
    </w:p>
    <w:p>
      <w:pPr>
        <w:pStyle w:val="BodyText"/>
        <w:widowControl/>
        <w:bidi w:val="0"/>
        <w:spacing w:lineRule="atLeast" w:line="360" w:before="0" w:after="180"/>
        <w:ind w:hanging="0" w:start="0" w:end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In a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Normal Distribution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, the math naturally balances out. 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 xml:space="preserve">Q1 and Q3 will be  </w:t>
      </w:r>
    </w:p>
    <w:p>
      <w:pPr>
        <w:pStyle w:val="BodyText"/>
        <w:widowControl/>
        <w:bidi w:val="0"/>
        <w:spacing w:lineRule="atLeast" w:line="360" w:before="0" w:after="180"/>
        <w:ind w:hanging="0" w:start="0" w:end="0"/>
        <w:rPr/>
      </w:pP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the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 xml:space="preserve"> equidistant from the Median, making the box look perfectly centered. In </w:t>
      </w:r>
      <w:r>
        <w:rPr>
          <w:rStyle w:val="Strong"/>
          <w:rFonts w:ascii="Google Sans;Arial;sans-serif" w:hAnsi="Google Sans;Arial;sans-serif"/>
          <w:b/>
          <w:i w:val="false"/>
          <w:caps w:val="false"/>
          <w:smallCaps w:val="false"/>
          <w:color w:val="0A0A0A"/>
          <w:spacing w:val="0"/>
          <w:sz w:val="24"/>
        </w:rPr>
        <w:t>Non-Normal</w:t>
      </w:r>
      <w:r>
        <w:rPr>
          <w:rFonts w:ascii="Google Sans;Arial;sans-serif" w:hAnsi="Google Sans;Arial;sans-serif"/>
          <w:b w:val="false"/>
          <w:i w:val="false"/>
          <w:caps w:val="false"/>
          <w:smallCaps w:val="false"/>
          <w:color w:val="0A0A0A"/>
          <w:spacing w:val="0"/>
          <w:sz w:val="24"/>
        </w:rPr>
        <w:t> data, the IQR calculation usually results in one whisker being much longer than the other because the data is "stretched" or "skewed" in one direction.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Google Sans">
    <w:altName w:val="Arial"/>
    <w:charset w:val="01" w:characterSet="utf-8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0"/>
        </w:tabs>
        <w:ind w:start="0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gif"/><Relationship Id="rId3" Type="http://schemas.openxmlformats.org/officeDocument/2006/relationships/image" Target="media/image1.gif"/><Relationship Id="rId4" Type="http://schemas.openxmlformats.org/officeDocument/2006/relationships/image" Target="media/image1.gif"/><Relationship Id="rId5" Type="http://schemas.openxmlformats.org/officeDocument/2006/relationships/image" Target="media/image1.gif"/><Relationship Id="rId6" Type="http://schemas.openxmlformats.org/officeDocument/2006/relationships/image" Target="media/image1.gif"/><Relationship Id="rId7" Type="http://schemas.openxmlformats.org/officeDocument/2006/relationships/image" Target="media/image1.gif"/><Relationship Id="rId8" Type="http://schemas.openxmlformats.org/officeDocument/2006/relationships/image" Target="media/image1.gif"/><Relationship Id="rId9" Type="http://schemas.openxmlformats.org/officeDocument/2006/relationships/image" Target="media/image1.gif"/><Relationship Id="rId10" Type="http://schemas.openxmlformats.org/officeDocument/2006/relationships/image" Target="media/image1.gif"/><Relationship Id="rId11" Type="http://schemas.openxmlformats.org/officeDocument/2006/relationships/image" Target="media/image1.gif"/><Relationship Id="rId12" Type="http://schemas.openxmlformats.org/officeDocument/2006/relationships/numbering" Target="numbering.xml"/><Relationship Id="rId13" Type="http://schemas.openxmlformats.org/officeDocument/2006/relationships/fontTable" Target="fontTable.xml"/><Relationship Id="rId14" Type="http://schemas.openxmlformats.org/officeDocument/2006/relationships/settings" Target="settings.xml"/><Relationship Id="rId1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</TotalTime>
  <Application>LibreOffice/24.2.7.2$Linux_X86_64 LibreOffice_project/420$Build-2</Application>
  <AppVersion>15.0000</AppVersion>
  <Pages>2</Pages>
  <Words>431</Words>
  <Characters>2043</Characters>
  <CharactersWithSpaces>2427</CharactersWithSpaces>
  <Paragraphs>41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2026-02-21T11:21:37Z</dcterms:created>
  <dc:creator/>
  <dc:description/>
  <dc:language>en-US</dc:language>
  <cp:lastModifiedBy/>
  <dcterms:modified xsi:type="dcterms:W3CDTF">2026-02-21T11:30:32Z</dcterms:modified>
  <cp:revision>6</cp:revision>
  <dc:subject/>
  <dc:title/>
</cp:coreProperties>
</file>