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radevo"/>
    <w:p>
      <w:pPr>
        <w:pStyle w:val="Heading1"/>
      </w:pPr>
      <w:r>
        <w:t xml:space="preserve">TRADEVO</w:t>
      </w:r>
    </w:p>
    <w:bookmarkEnd w:id="20"/>
    <w:bookmarkStart w:id="22" w:name="software-requirements-specification-srs"/>
    <w:p>
      <w:pPr>
        <w:pStyle w:val="Heading1"/>
      </w:pPr>
      <w:r>
        <w:t xml:space="preserve">Software Requirements Specification (SRS)</w:t>
      </w:r>
    </w:p>
    <w:bookmarkStart w:id="21" w:name="chapter-6-business-rules"/>
    <w:p>
      <w:pPr>
        <w:pStyle w:val="Heading2"/>
      </w:pPr>
      <w:r>
        <w:t xml:space="preserve">Chapter 6 – Business Rules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49" w:name="business-rules"/>
    <w:p>
      <w:pPr>
        <w:pStyle w:val="Heading1"/>
      </w:pPr>
      <w:r>
        <w:t xml:space="preserve">6. Business Rules</w:t>
      </w:r>
    </w:p>
    <w:p>
      <w:pPr>
        <w:pStyle w:val="FirstParagraph"/>
      </w:pPr>
      <w:r>
        <w:t xml:space="preserve">This chapter defines the business policies that govern the behavior of the Tradevo platform. These rules apply across all modules unless explicitly stated otherwise.</w:t>
      </w:r>
    </w:p>
    <w:p>
      <w:r>
        <w:pict>
          <v:rect style="width:0;height:1.5pt" o:hralign="center" o:hrstd="t" o:hr="t"/>
        </w:pict>
      </w:r>
    </w:p>
    <w:bookmarkStart w:id="26" w:name="user-account-rules"/>
    <w:p>
      <w:pPr>
        <w:pStyle w:val="Heading2"/>
      </w:pPr>
      <w:r>
        <w:t xml:space="preserve">6.1 User &amp; Account Rules</w:t>
      </w:r>
    </w:p>
    <w:bookmarkStart w:id="23" w:name="br-001-unique-user-account"/>
    <w:p>
      <w:pPr>
        <w:pStyle w:val="Heading3"/>
      </w:pPr>
      <w:r>
        <w:t xml:space="preserve">BR-001 – Unique User Account</w:t>
      </w:r>
    </w:p>
    <w:p>
      <w:pPr>
        <w:pStyle w:val="FirstParagraph"/>
      </w:pPr>
      <w:r>
        <w:t xml:space="preserve">Each registered email address shall be associated with only one Tradevo account.</w:t>
      </w:r>
    </w:p>
    <w:p>
      <w:r>
        <w:pict>
          <v:rect style="width:0;height:1.5pt" o:hralign="center" o:hrstd="t" o:hr="t"/>
        </w:pict>
      </w:r>
    </w:p>
    <w:bookmarkEnd w:id="23"/>
    <w:bookmarkStart w:id="24" w:name="br-002-profile-completion"/>
    <w:p>
      <w:pPr>
        <w:pStyle w:val="Heading3"/>
      </w:pPr>
      <w:r>
        <w:t xml:space="preserve">BR-002 – Profile Completion</w:t>
      </w:r>
    </w:p>
    <w:p>
      <w:pPr>
        <w:pStyle w:val="FirstParagraph"/>
      </w:pPr>
      <w:r>
        <w:t xml:space="preserve">Users shall complete the required profile information before accessing investment simulation features.</w:t>
      </w:r>
    </w:p>
    <w:p>
      <w:r>
        <w:pict>
          <v:rect style="width:0;height:1.5pt" o:hralign="center" o:hrstd="t" o:hr="t"/>
        </w:pict>
      </w:r>
    </w:p>
    <w:bookmarkEnd w:id="24"/>
    <w:bookmarkStart w:id="25" w:name="br-003-user-ownership"/>
    <w:p>
      <w:pPr>
        <w:pStyle w:val="Heading3"/>
      </w:pPr>
      <w:r>
        <w:t xml:space="preserve">BR-003 – User Ownership</w:t>
      </w:r>
    </w:p>
    <w:p>
      <w:pPr>
        <w:pStyle w:val="FirstParagraph"/>
      </w:pPr>
      <w:r>
        <w:t xml:space="preserve">Each portfolio, simulation history, and AI profile shall belong exclusively to its respective user.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investment-rules"/>
    <w:p>
      <w:pPr>
        <w:pStyle w:val="Heading2"/>
      </w:pPr>
      <w:r>
        <w:t xml:space="preserve">6.2 Investment Rules</w:t>
      </w:r>
    </w:p>
    <w:bookmarkStart w:id="27" w:name="br-004-user-decision-authority"/>
    <w:p>
      <w:pPr>
        <w:pStyle w:val="Heading3"/>
      </w:pPr>
      <w:r>
        <w:t xml:space="preserve">BR-004 – User Decision Authority</w:t>
      </w:r>
    </w:p>
    <w:p>
      <w:pPr>
        <w:pStyle w:val="FirstParagraph"/>
      </w:pPr>
      <w:r>
        <w:t xml:space="preserve">The final investment decision shall always remain with the user.</w:t>
      </w:r>
    </w:p>
    <w:p>
      <w:pPr>
        <w:pStyle w:val="BodyText"/>
      </w:pPr>
      <w:r>
        <w:t xml:space="preserve">The system shall never execute or confirm an investment automatically.</w:t>
      </w:r>
    </w:p>
    <w:p>
      <w:r>
        <w:pict>
          <v:rect style="width:0;height:1.5pt" o:hralign="center" o:hrstd="t" o:hr="t"/>
        </w:pict>
      </w:r>
    </w:p>
    <w:bookmarkEnd w:id="27"/>
    <w:bookmarkStart w:id="28" w:name="br-005-virtual-capital"/>
    <w:p>
      <w:pPr>
        <w:pStyle w:val="Heading3"/>
      </w:pPr>
      <w:r>
        <w:t xml:space="preserve">BR-005 – Virtual Capital</w:t>
      </w:r>
    </w:p>
    <w:p>
      <w:pPr>
        <w:pStyle w:val="FirstParagraph"/>
      </w:pPr>
      <w:r>
        <w:t xml:space="preserve">All new users shall receive the predefined amount of virtual capital when starting simulation mode.</w:t>
      </w:r>
    </w:p>
    <w:p>
      <w:r>
        <w:pict>
          <v:rect style="width:0;height:1.5pt" o:hralign="center" o:hrstd="t" o:hr="t"/>
        </w:pict>
      </w:r>
    </w:p>
    <w:bookmarkEnd w:id="28"/>
    <w:bookmarkStart w:id="29" w:name="br-006-portfolio-consistency"/>
    <w:p>
      <w:pPr>
        <w:pStyle w:val="Heading3"/>
      </w:pPr>
      <w:r>
        <w:t xml:space="preserve">BR-006 – Portfolio Consistency</w:t>
      </w:r>
    </w:p>
    <w:p>
      <w:pPr>
        <w:pStyle w:val="FirstParagraph"/>
      </w:pPr>
      <w:r>
        <w:t xml:space="preserve">Portfolio values shall be updated after every completed investment transaction.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ai-rules"/>
    <w:p>
      <w:pPr>
        <w:pStyle w:val="Heading2"/>
      </w:pPr>
      <w:r>
        <w:t xml:space="preserve">6.3 AI Rules</w:t>
      </w:r>
    </w:p>
    <w:bookmarkStart w:id="31" w:name="br-007-explainable-ai"/>
    <w:p>
      <w:pPr>
        <w:pStyle w:val="Heading3"/>
      </w:pPr>
      <w:r>
        <w:t xml:space="preserve">BR-007 – Explainable AI</w:t>
      </w:r>
    </w:p>
    <w:p>
      <w:pPr>
        <w:pStyle w:val="FirstParagraph"/>
      </w:pPr>
      <w:r>
        <w:t xml:space="preserve">Every AI-generated insight shall include a supporting explanation or reasoning.</w:t>
      </w:r>
    </w:p>
    <w:p>
      <w:r>
        <w:pict>
          <v:rect style="width:0;height:1.5pt" o:hralign="center" o:hrstd="t" o:hr="t"/>
        </w:pict>
      </w:r>
    </w:p>
    <w:bookmarkEnd w:id="31"/>
    <w:bookmarkStart w:id="32" w:name="br-008-no-profit-guarantee"/>
    <w:p>
      <w:pPr>
        <w:pStyle w:val="Heading3"/>
      </w:pPr>
      <w:r>
        <w:t xml:space="preserve">BR-008 – No Profit Guarantee</w:t>
      </w:r>
    </w:p>
    <w:p>
      <w:pPr>
        <w:pStyle w:val="FirstParagraph"/>
      </w:pPr>
      <w:r>
        <w:t xml:space="preserve">The system shall never guarantee investment returns or claim prediction certainty.</w:t>
      </w:r>
    </w:p>
    <w:p>
      <w:r>
        <w:pict>
          <v:rect style="width:0;height:1.5pt" o:hralign="center" o:hrstd="t" o:hr="t"/>
        </w:pict>
      </w:r>
    </w:p>
    <w:bookmarkEnd w:id="32"/>
    <w:bookmarkStart w:id="33" w:name="br-009-personalized-insights"/>
    <w:p>
      <w:pPr>
        <w:pStyle w:val="Heading3"/>
      </w:pPr>
      <w:r>
        <w:t xml:space="preserve">BR-009 – Personalized Insights</w:t>
      </w:r>
    </w:p>
    <w:p>
      <w:pPr>
        <w:pStyle w:val="FirstParagraph"/>
      </w:pPr>
      <w:r>
        <w:t xml:space="preserve">AI-generated recommendations shall consider the user’s Investment DNA whenever sufficient behavioral data is available.</w:t>
      </w:r>
    </w:p>
    <w:p>
      <w:r>
        <w:pict>
          <v:rect style="width:0;height:1.5pt" o:hralign="center" o:hrstd="t" o:hr="t"/>
        </w:pict>
      </w:r>
    </w:p>
    <w:bookmarkEnd w:id="33"/>
    <w:bookmarkStart w:id="34" w:name="br-010-decision-support-only"/>
    <w:p>
      <w:pPr>
        <w:pStyle w:val="Heading3"/>
      </w:pPr>
      <w:r>
        <w:t xml:space="preserve">BR-010 – Decision Support Only</w:t>
      </w:r>
    </w:p>
    <w:p>
      <w:pPr>
        <w:pStyle w:val="FirstParagraph"/>
      </w:pPr>
      <w:r>
        <w:t xml:space="preserve">AI outputs shall assist decision-making and shall not be presented as professional financial advice.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deep-research-rules"/>
    <w:p>
      <w:pPr>
        <w:pStyle w:val="Heading2"/>
      </w:pPr>
      <w:r>
        <w:t xml:space="preserve">6.4 Deep Research Rules</w:t>
      </w:r>
    </w:p>
    <w:bookmarkStart w:id="36" w:name="br-011-evidence-based-research"/>
    <w:p>
      <w:pPr>
        <w:pStyle w:val="Heading3"/>
      </w:pPr>
      <w:r>
        <w:t xml:space="preserve">BR-011 – Evidence-Based Research</w:t>
      </w:r>
    </w:p>
    <w:p>
      <w:pPr>
        <w:pStyle w:val="FirstParagraph"/>
      </w:pPr>
      <w:r>
        <w:t xml:space="preserve">Deep Research reports shall be generated using available financial, market, and company information.</w:t>
      </w:r>
    </w:p>
    <w:p>
      <w:r>
        <w:pict>
          <v:rect style="width:0;height:1.5pt" o:hralign="center" o:hrstd="t" o:hr="t"/>
        </w:pict>
      </w:r>
    </w:p>
    <w:bookmarkEnd w:id="36"/>
    <w:bookmarkStart w:id="37" w:name="br-012-research-transparency"/>
    <w:p>
      <w:pPr>
        <w:pStyle w:val="Heading3"/>
      </w:pPr>
      <w:r>
        <w:t xml:space="preserve">BR-012 – Research Transparency</w:t>
      </w:r>
    </w:p>
    <w:p>
      <w:pPr>
        <w:pStyle w:val="FirstParagraph"/>
      </w:pPr>
      <w:r>
        <w:t xml:space="preserve">The system shall clearly distinguish factual information from AI-generated analysis.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notification-rules"/>
    <w:p>
      <w:pPr>
        <w:pStyle w:val="Heading2"/>
      </w:pPr>
      <w:r>
        <w:t xml:space="preserve">6.5 Notification Rules</w:t>
      </w:r>
    </w:p>
    <w:bookmarkStart w:id="39" w:name="br-013-relevance"/>
    <w:p>
      <w:pPr>
        <w:pStyle w:val="Heading3"/>
      </w:pPr>
      <w:r>
        <w:t xml:space="preserve">BR-013 – Relevance</w:t>
      </w:r>
    </w:p>
    <w:p>
      <w:pPr>
        <w:pStyle w:val="FirstParagraph"/>
      </w:pPr>
      <w:r>
        <w:t xml:space="preserve">Notifications shall be relevant to the user’s activity, portfolio, or preferences.</w:t>
      </w:r>
    </w:p>
    <w:p>
      <w:r>
        <w:pict>
          <v:rect style="width:0;height:1.5pt" o:hralign="center" o:hrstd="t" o:hr="t"/>
        </w:pict>
      </w:r>
    </w:p>
    <w:bookmarkEnd w:id="39"/>
    <w:bookmarkStart w:id="40" w:name="br-014-critical-alerts"/>
    <w:p>
      <w:pPr>
        <w:pStyle w:val="Heading3"/>
      </w:pPr>
      <w:r>
        <w:t xml:space="preserve">BR-014 – Critical Alerts</w:t>
      </w:r>
    </w:p>
    <w:p>
      <w:pPr>
        <w:pStyle w:val="FirstParagraph"/>
      </w:pPr>
      <w:r>
        <w:t xml:space="preserve">High-priority alerts shall take precedence over informational notifications.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ecurity-rules"/>
    <w:p>
      <w:pPr>
        <w:pStyle w:val="Heading2"/>
      </w:pPr>
      <w:r>
        <w:t xml:space="preserve">6.6 Security Rules</w:t>
      </w:r>
    </w:p>
    <w:bookmarkStart w:id="42" w:name="br-015-authentication-required"/>
    <w:p>
      <w:pPr>
        <w:pStyle w:val="Heading3"/>
      </w:pPr>
      <w:r>
        <w:t xml:space="preserve">BR-015 – Authentication Required</w:t>
      </w:r>
    </w:p>
    <w:p>
      <w:pPr>
        <w:pStyle w:val="FirstParagraph"/>
      </w:pPr>
      <w:r>
        <w:t xml:space="preserve">Protected features shall only be accessible to authenticated users.</w:t>
      </w:r>
    </w:p>
    <w:p>
      <w:r>
        <w:pict>
          <v:rect style="width:0;height:1.5pt" o:hralign="center" o:hrstd="t" o:hr="t"/>
        </w:pict>
      </w:r>
    </w:p>
    <w:bookmarkEnd w:id="42"/>
    <w:bookmarkStart w:id="43" w:name="br-016-data-privacy"/>
    <w:p>
      <w:pPr>
        <w:pStyle w:val="Heading3"/>
      </w:pPr>
      <w:r>
        <w:t xml:space="preserve">BR-016 – Data Privacy</w:t>
      </w:r>
    </w:p>
    <w:p>
      <w:pPr>
        <w:pStyle w:val="FirstParagraph"/>
      </w:pPr>
      <w:r>
        <w:t xml:space="preserve">User-specific investment information shall not be accessible to unauthorized users.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general-rules"/>
    <w:p>
      <w:pPr>
        <w:pStyle w:val="Heading2"/>
      </w:pPr>
      <w:r>
        <w:t xml:space="preserve">6.7 General Rules</w:t>
      </w:r>
    </w:p>
    <w:bookmarkStart w:id="45" w:name="br-017-auditability"/>
    <w:p>
      <w:pPr>
        <w:pStyle w:val="Heading3"/>
      </w:pPr>
      <w:r>
        <w:t xml:space="preserve">BR-017 – Auditability</w:t>
      </w:r>
    </w:p>
    <w:p>
      <w:pPr>
        <w:pStyle w:val="FirstParagraph"/>
      </w:pPr>
      <w:r>
        <w:t xml:space="preserve">User actions affecting portfolios or AI learning shall be recorded for audit and analysis purposes.</w:t>
      </w:r>
    </w:p>
    <w:p>
      <w:r>
        <w:pict>
          <v:rect style="width:0;height:1.5pt" o:hralign="center" o:hrstd="t" o:hr="t"/>
        </w:pict>
      </w:r>
    </w:p>
    <w:bookmarkEnd w:id="45"/>
    <w:bookmarkStart w:id="46" w:name="br-018-system-integrity"/>
    <w:p>
      <w:pPr>
        <w:pStyle w:val="Heading3"/>
      </w:pPr>
      <w:r>
        <w:t xml:space="preserve">BR-018 – System Integrity</w:t>
      </w:r>
    </w:p>
    <w:p>
      <w:pPr>
        <w:pStyle w:val="FirstParagraph"/>
      </w:pPr>
      <w:r>
        <w:t xml:space="preserve">The system shall maintain consistency of user data during normal operation and recoverable failures.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end-of-chapter-6"/>
    <w:p>
      <w:pPr>
        <w:pStyle w:val="Heading2"/>
      </w:pPr>
      <w:r>
        <w:t xml:space="preserve">End of Chapter 6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2026-06-29T10:06:50Z</dcterms:created>
  <dcterms:modified xsi:type="dcterms:W3CDTF">2026-06-29T10:06:50Z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