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5F"/>
          <w:sz w:val="56"/>
          <w:szCs w:val="56"/>
        </w:rPr>
        <w:t xml:space="preserve">AccrediAI</w:t>
      </w:r>
    </w:p>
    <w:p>
      <w:pPr>
        <w:spacing w:after="60"/>
      </w:pPr>
      <w:r>
        <w:rPr>
          <w:color w:val="0E7C7B"/>
          <w:sz w:val="28"/>
          <w:szCs w:val="28"/>
        </w:rPr>
        <w:t xml:space="preserve">AI-Powered NAAC Accreditation Intelligence Platform</w:t>
      </w:r>
    </w:p>
    <w:p>
      <w:pPr>
        <w:spacing w:after="40"/>
      </w:pPr>
      <w:r>
        <w:rPr>
          <w:color w:val="5A5A5A"/>
          <w:sz w:val="22"/>
          <w:szCs w:val="22"/>
        </w:rPr>
        <w:t xml:space="preserve">Product Requirements Document (PRD) — v1.0</w:t>
      </w:r>
    </w:p>
    <w:p>
      <w:pPr>
        <w:spacing w:after="400"/>
      </w:pPr>
      <w:r>
        <w:rPr>
          <w:i/>
          <w:iCs/>
          <w:color w:val="5A5A5A"/>
          <w:sz w:val="20"/>
          <w:szCs w:val="20"/>
        </w:rPr>
        <w:t xml:space="preserve">AB Talks 60-Day Claude AI Challenge — 10-Day Capstone</w:t>
      </w:r>
    </w:p>
    <w:p>
      <w:pPr>
        <w:pStyle w:val="Heading1"/>
        <w:spacing w:after="160" w:before="360"/>
      </w:pPr>
      <w:r>
        <w:t xml:space="preserve">1. Executive Summary</w:t>
      </w:r>
    </w:p>
    <w:p>
      <w:pPr>
        <w:spacing w:after="140"/>
      </w:pPr>
      <w:r>
        <w:t xml:space="preserve">AccrediAI is a multi-tenant, AI-powered SaaS platform that helps Higher Education Institutions (HEIs) in India move from reactive document management to proactive accreditation intelligence for the NAAC (National Assessment and Accreditation Council) accreditation process. Instead of merely storing evidence documents, AccrediAI automatically analyses uploaded institutional evidence, maps it to NAAC's official Criteria, Key Indicators, and Metrics, validates its quality and completeness, identifies gaps, and produces an explainable, continuously-updated Accreditation Readiness Score with actionable recommendations.</w:t>
      </w:r>
    </w:p>
    <w:p>
      <w:pPr>
        <w:spacing w:after="140"/>
      </w:pPr>
      <w:r>
        <w:t xml:space="preserve">The platform is architected as an enterprise-grade, multi-tenant SaaS product from day one — supporting secure per-institution data isolation, role-based access control across the full institutional hierarchy, and all 7 NAAC Criteria in its data model, navigation, and UI. For v1.0, full production-grade AI intelligence (document classification, evidence validation, gap detection, readiness scoring, and recommendations) is implemented and rigorously tested for three representative Criteria — Criterion 2 (Teaching-Learning &amp; Evaluation), Criterion 3 (Research, Innovations &amp; Extension), and Criterion 6 (Governance, Leadership &amp; Management) — chosen to span academic, research, and administrative evidence types. The remaining four Criteria share the same extensible framework and can be enabled through additional configuration and prompts, without architectural rework.</w:t>
      </w:r>
    </w:p>
    <w:p>
      <w:pPr>
        <w:pStyle w:val="Heading1"/>
        <w:spacing w:after="160" w:before="360"/>
      </w:pPr>
      <w:r>
        <w:t xml:space="preserve">2. Problem Statement</w:t>
      </w:r>
    </w:p>
    <w:p>
      <w:pPr>
        <w:pStyle w:val="Heading2"/>
        <w:spacing w:after="120" w:before="260"/>
      </w:pPr>
      <w:r>
        <w:t xml:space="preserve">2.1 The Problem</w:t>
      </w:r>
    </w:p>
    <w:p>
      <w:pPr>
        <w:spacing w:after="140"/>
      </w:pPr>
      <w:r>
        <w:t xml:space="preserve">NAAC accreditation is mandatory for Indian HEIs seeking recognition, funding eligibility, and institutional credibility. The process requires institutions to compile and submit evidence against a large, detailed framework (7 Criteria, dozens of Key Indicators, 100+ Metrics) via the Self-Study Report (SSR) and Annual Quality Assurance Report (AQAR).</w:t>
      </w:r>
    </w:p>
    <w:p>
      <w:pPr>
        <w:spacing w:after="140"/>
      </w:pPr>
      <w:r>
        <w:t xml:space="preserve">Existing tools in this space (AQAR/NAAC management software) are primarily document repositories and report generators. They tell an institution what has been uploaded, not whether it is actually accreditation-ready. This creates several concrete pain points for IQAC (Internal Quality Assurance Cell) teams:</w:t>
      </w:r>
    </w:p>
    <w:p>
      <w:pPr>
        <w:pStyle w:val="ListParagraph"/>
        <w:numPr>
          <w:ilvl w:val="0"/>
          <w:numId w:val="1"/>
        </w:numPr>
        <w:spacing w:after="80"/>
      </w:pPr>
      <w:r>
        <w:t xml:space="preserve">No visibility into readiness until very close to the actual NAAC visit, when it is too late to fix gaps.</w:t>
      </w:r>
    </w:p>
    <w:p>
      <w:pPr>
        <w:pStyle w:val="ListParagraph"/>
        <w:numPr>
          <w:ilvl w:val="0"/>
          <w:numId w:val="1"/>
        </w:numPr>
        <w:spacing w:after="80"/>
      </w:pPr>
      <w:r>
        <w:t xml:space="preserve">Manually cross-referencing hundreds of documents against NAAC's Criteria/Metric framework is slow, error-prone, and requires deep framework expertise.</w:t>
      </w:r>
    </w:p>
    <w:p>
      <w:pPr>
        <w:pStyle w:val="ListParagraph"/>
        <w:numPr>
          <w:ilvl w:val="0"/>
          <w:numId w:val="1"/>
        </w:numPr>
        <w:spacing w:after="80"/>
      </w:pPr>
      <w:r>
        <w:t xml:space="preserve">Weak or incomplete evidence (missing signatures, dates, attachments) is discovered late, often during the actual assessment.</w:t>
      </w:r>
    </w:p>
    <w:p>
      <w:pPr>
        <w:pStyle w:val="ListParagraph"/>
        <w:numPr>
          <w:ilvl w:val="0"/>
          <w:numId w:val="1"/>
        </w:numPr>
        <w:spacing w:after="80"/>
      </w:pPr>
      <w:r>
        <w:t xml:space="preserve">Institutional knowledge about "what evidence goes where" lives in a few overworked IQAC staff members' heads, not in a searchable system.</w:t>
      </w:r>
    </w:p>
    <w:p>
      <w:pPr>
        <w:pStyle w:val="Heading2"/>
        <w:spacing w:after="120" w:before="260"/>
      </w:pPr>
      <w: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A5F" w:color="auto" w:val="clear"/>
            <w:tcMar>
              <w:top w:type="dxa" w:w="80"/>
              <w:left w:type="dxa" w:w="100"/>
              <w:bottom w:type="dxa" w:w="80"/>
              <w:right w:type="dxa" w:w="100"/>
            </w:tcMar>
          </w:tcPr>
          <w:p>
            <w:r>
              <w:rPr>
                <w:b/>
                <w:bCs/>
                <w:color w:val="FFFFFF"/>
                <w:sz w:val="20"/>
                <w:szCs w:val="20"/>
              </w:rPr>
              <w:t xml:space="preserve">Role</w:t>
            </w:r>
          </w:p>
        </w:tc>
        <w:tc>
          <w:tcPr>
            <w:tcW w:type="dxa" w:w="6560"/>
            <w:shd w:fill="1F3A5F" w:color="auto" w:val="clear"/>
            <w:tcMar>
              <w:top w:type="dxa" w:w="80"/>
              <w:left w:type="dxa" w:w="100"/>
              <w:bottom w:type="dxa" w:w="80"/>
              <w:right w:type="dxa" w:w="100"/>
            </w:tcMar>
          </w:tcPr>
          <w:p>
            <w:r>
              <w:rPr>
                <w:b/>
                <w:bCs/>
                <w:color w:val="FFFFFF"/>
                <w:sz w:val="20"/>
                <w:szCs w:val="20"/>
              </w:rPr>
              <w:t xml:space="preserve">Relationship to AccrediAI v1.0</w:t>
            </w:r>
          </w:p>
        </w:tc>
      </w:tr>
      <w:tr>
        <w:tc>
          <w:tcPr>
            <w:tcW w:type="dxa" w:w="2800"/>
            <w:tcMar>
              <w:top w:type="dxa" w:w="80"/>
              <w:left w:type="dxa" w:w="100"/>
              <w:bottom w:type="dxa" w:w="80"/>
              <w:right w:type="dxa" w:w="100"/>
            </w:tcMar>
          </w:tcPr>
          <w:p>
            <w:r>
              <w:rPr>
                <w:sz w:val="20"/>
                <w:szCs w:val="20"/>
              </w:rPr>
              <w:t xml:space="preserve">IQAC Coordinator</w:t>
            </w:r>
          </w:p>
        </w:tc>
        <w:tc>
          <w:tcPr>
            <w:tcW w:type="dxa" w:w="6560"/>
            <w:tcMar>
              <w:top w:type="dxa" w:w="80"/>
              <w:left w:type="dxa" w:w="100"/>
              <w:bottom w:type="dxa" w:w="80"/>
              <w:right w:type="dxa" w:w="100"/>
            </w:tcMar>
          </w:tcPr>
          <w:p>
            <w:r>
              <w:rPr>
                <w:sz w:val="20"/>
                <w:szCs w:val="20"/>
              </w:rPr>
              <w:t xml:space="preserve">Primary user. Full access — oversees entire accreditation readiness process across all criteria.</w:t>
            </w:r>
          </w:p>
        </w:tc>
      </w:tr>
      <w:tr>
        <w:tc>
          <w:tcPr>
            <w:tcW w:type="dxa" w:w="2800"/>
            <w:shd w:fill="EAF1F8" w:color="auto" w:val="clear"/>
            <w:tcMar>
              <w:top w:type="dxa" w:w="80"/>
              <w:left w:type="dxa" w:w="100"/>
              <w:bottom w:type="dxa" w:w="80"/>
              <w:right w:type="dxa" w:w="100"/>
            </w:tcMar>
          </w:tcPr>
          <w:p>
            <w:r>
              <w:rPr>
                <w:sz w:val="20"/>
                <w:szCs w:val="20"/>
              </w:rPr>
              <w:t xml:space="preserve">Criterion Coordinator</w:t>
            </w:r>
          </w:p>
        </w:tc>
        <w:tc>
          <w:tcPr>
            <w:tcW w:type="dxa" w:w="6560"/>
            <w:shd w:fill="EAF1F8" w:color="auto" w:val="clear"/>
            <w:tcMar>
              <w:top w:type="dxa" w:w="80"/>
              <w:left w:type="dxa" w:w="100"/>
              <w:bottom w:type="dxa" w:w="80"/>
              <w:right w:type="dxa" w:w="100"/>
            </w:tcMar>
          </w:tcPr>
          <w:p>
            <w:r>
              <w:rPr>
                <w:sz w:val="20"/>
                <w:szCs w:val="20"/>
              </w:rPr>
              <w:t xml:space="preserve">Fully functional. Manages evidence and readiness for their assigned Criterion(s).</w:t>
            </w:r>
          </w:p>
        </w:tc>
      </w:tr>
      <w:tr>
        <w:tc>
          <w:tcPr>
            <w:tcW w:type="dxa" w:w="2800"/>
            <w:tcMar>
              <w:top w:type="dxa" w:w="80"/>
              <w:left w:type="dxa" w:w="100"/>
              <w:bottom w:type="dxa" w:w="80"/>
              <w:right w:type="dxa" w:w="100"/>
            </w:tcMar>
          </w:tcPr>
          <w:p>
            <w:r>
              <w:rPr>
                <w:sz w:val="20"/>
                <w:szCs w:val="20"/>
              </w:rPr>
              <w:t xml:space="preserve">Principal</w:t>
            </w:r>
          </w:p>
        </w:tc>
        <w:tc>
          <w:tcPr>
            <w:tcW w:type="dxa" w:w="6560"/>
            <w:tcMar>
              <w:top w:type="dxa" w:w="80"/>
              <w:left w:type="dxa" w:w="100"/>
              <w:bottom w:type="dxa" w:w="80"/>
              <w:right w:type="dxa" w:w="100"/>
            </w:tcMar>
          </w:tcPr>
          <w:p>
            <w:r>
              <w:rPr>
                <w:sz w:val="20"/>
                <w:szCs w:val="20"/>
              </w:rPr>
              <w:t xml:space="preserve">Simplified, read-only oversight dashboard — institution-wide readiness visibility.</w:t>
            </w:r>
          </w:p>
        </w:tc>
      </w:tr>
      <w:tr>
        <w:tc>
          <w:tcPr>
            <w:tcW w:type="dxa" w:w="2800"/>
            <w:shd w:fill="EAF1F8" w:color="auto" w:val="clear"/>
            <w:tcMar>
              <w:top w:type="dxa" w:w="80"/>
              <w:left w:type="dxa" w:w="100"/>
              <w:bottom w:type="dxa" w:w="80"/>
              <w:right w:type="dxa" w:w="100"/>
            </w:tcMar>
          </w:tcPr>
          <w:p>
            <w:r>
              <w:rPr>
                <w:sz w:val="20"/>
                <w:szCs w:val="20"/>
              </w:rPr>
              <w:t xml:space="preserve">Faculty Member</w:t>
            </w:r>
          </w:p>
        </w:tc>
        <w:tc>
          <w:tcPr>
            <w:tcW w:type="dxa" w:w="6560"/>
            <w:shd w:fill="EAF1F8" w:color="auto" w:val="clear"/>
            <w:tcMar>
              <w:top w:type="dxa" w:w="80"/>
              <w:left w:type="dxa" w:w="100"/>
              <w:bottom w:type="dxa" w:w="80"/>
              <w:right w:type="dxa" w:w="100"/>
            </w:tcMar>
          </w:tcPr>
          <w:p>
            <w:r>
              <w:rPr>
                <w:sz w:val="20"/>
                <w:szCs w:val="20"/>
              </w:rPr>
              <w:t xml:space="preserve">Simplified — can upload evidence relevant to their own contributions.</w:t>
            </w:r>
          </w:p>
        </w:tc>
      </w:tr>
      <w:tr>
        <w:tc>
          <w:tcPr>
            <w:tcW w:type="dxa" w:w="2800"/>
            <w:tcMar>
              <w:top w:type="dxa" w:w="80"/>
              <w:left w:type="dxa" w:w="100"/>
              <w:bottom w:type="dxa" w:w="80"/>
              <w:right w:type="dxa" w:w="100"/>
            </w:tcMar>
          </w:tcPr>
          <w:p>
            <w:r>
              <w:rPr>
                <w:sz w:val="20"/>
                <w:szCs w:val="20"/>
              </w:rPr>
              <w:t xml:space="preserve">NAAC Coordinator, HOD, Data Entry Operator, Institution Admin</w:t>
            </w:r>
          </w:p>
        </w:tc>
        <w:tc>
          <w:tcPr>
            <w:tcW w:type="dxa" w:w="6560"/>
            <w:tcMar>
              <w:top w:type="dxa" w:w="80"/>
              <w:left w:type="dxa" w:w="100"/>
              <w:bottom w:type="dxa" w:w="80"/>
              <w:right w:type="dxa" w:w="100"/>
            </w:tcMar>
          </w:tcPr>
          <w:p>
            <w:r>
              <w:rPr>
                <w:sz w:val="20"/>
                <w:szCs w:val="20"/>
              </w:rPr>
              <w:t xml:space="preserve">Foundational RBAC — authentication, permissions, and basic dashboard placeholders; full workflows planned for future releases.</w:t>
            </w:r>
          </w:p>
        </w:tc>
      </w:tr>
    </w:tbl>
    <w:p>
      <w:pPr>
        <w:pStyle w:val="Heading1"/>
        <w:spacing w:after="160" w:before="360"/>
      </w:pPr>
      <w:r>
        <w:t xml:space="preserve">3. Product Vision &amp; Positioning</w:t>
      </w:r>
    </w:p>
    <w:p>
      <w:pPr>
        <w:spacing w:after="140"/>
      </w:pPr>
      <w:r>
        <w:t xml:space="preserve">Long-term vision: AccrediAI becomes the accreditation intelligence layer for Indian higher education — expanding from NAAC readiness into full lifecycle support (SSR/AQAR generation, compliance Q&amp;A, analytics) and eventually NBA/NIRF frameworks, serving institutions across India as a secure multi-tenant SaaS product.</w:t>
      </w:r>
    </w:p>
    <w:p>
      <w:pPr>
        <w:spacing w:after="140"/>
      </w:pPr>
      <w:r>
        <w:rPr>
          <w:b/>
          <w:bCs/>
        </w:rPr>
        <w:t xml:space="preserve">v1.0 positioning: "From document management to accreditation intelligence." AccrediAI does not replace institutions' existing document storage — it analyses what they already have (or upload) and tells them, with evidence and explanation, how ready they actually are.</w:t>
      </w:r>
    </w:p>
    <w:p>
      <w:pPr>
        <w:spacing w:after="140"/>
      </w:pPr>
      <w:r>
        <w:rPr>
          <w:i/>
          <w:iCs/>
        </w:rPr>
        <w:t xml:space="preserve">Important boundary: The AccrediAI Readiness Score is an AI-powered institutional readiness assessment, inspired by NAAC's published Criteria, Key Indicators, Metrics, and weightages. It measures evidence completeness, quality, coverage, and compliance. It is explicitly NOT a prediction of, or substitute for, the official NAAC accreditation grade, which is determined solely by NAAC's own assessment process.</w:t>
      </w:r>
    </w:p>
    <w:p>
      <w:pPr>
        <w:pStyle w:val="Heading1"/>
        <w:spacing w:after="160" w:before="360"/>
      </w:pPr>
      <w:r>
        <w:t xml:space="preserve">4. Scope — v1.0</w:t>
      </w:r>
    </w:p>
    <w:p>
      <w:pPr>
        <w:pStyle w:val="Heading2"/>
        <w:spacing w:after="120" w:before="260"/>
      </w:pPr>
      <w:r>
        <w:t xml:space="preserve">4.1 In Scope (🟢 Core — fully functional)</w:t>
      </w:r>
    </w:p>
    <w:p>
      <w:pPr>
        <w:pStyle w:val="ListParagraph"/>
        <w:numPr>
          <w:ilvl w:val="0"/>
          <w:numId w:val="1"/>
        </w:numPr>
        <w:spacing w:after="80"/>
      </w:pPr>
      <w:r>
        <w:t xml:space="preserve">Multi-tenant SaaS architecture with secure, isolated data per institution (workspace-based tenancy).</w:t>
      </w:r>
    </w:p>
    <w:p>
      <w:pPr>
        <w:pStyle w:val="ListParagraph"/>
        <w:numPr>
          <w:ilvl w:val="0"/>
          <w:numId w:val="1"/>
        </w:numPr>
        <w:spacing w:after="80"/>
      </w:pPr>
      <w:r>
        <w:t xml:space="preserve">Authentication and role-based access control (RBAC) covering 8 institutional roles.</w:t>
      </w:r>
    </w:p>
    <w:p>
      <w:pPr>
        <w:pStyle w:val="ListParagraph"/>
        <w:numPr>
          <w:ilvl w:val="0"/>
          <w:numId w:val="1"/>
        </w:numPr>
        <w:spacing w:after="80"/>
      </w:pPr>
      <w:r>
        <w:t xml:space="preserve">Fully functional dashboards for IQAC Coordinator and Criterion Coordinator.</w:t>
      </w:r>
    </w:p>
    <w:p>
      <w:pPr>
        <w:pStyle w:val="ListParagraph"/>
        <w:numPr>
          <w:ilvl w:val="0"/>
          <w:numId w:val="1"/>
        </w:numPr>
        <w:spacing w:after="80"/>
      </w:pPr>
      <w:r>
        <w:t xml:space="preserve">AI-driven evidence upload workflow: extraction → classification → validation → gap detection → recommendations → human approval → knowledge base update.</w:t>
      </w:r>
    </w:p>
    <w:p>
      <w:pPr>
        <w:pStyle w:val="ListParagraph"/>
        <w:numPr>
          <w:ilvl w:val="0"/>
          <w:numId w:val="1"/>
        </w:numPr>
        <w:spacing w:after="80"/>
      </w:pPr>
      <w:r>
        <w:t xml:space="preserve">Explainable Accreditation Readiness Score at Metric, Key Indicator, Criterion, and Institution level, based on NAAC's published framework and weightages.</w:t>
      </w:r>
    </w:p>
    <w:p>
      <w:pPr>
        <w:pStyle w:val="ListParagraph"/>
        <w:numPr>
          <w:ilvl w:val="0"/>
          <w:numId w:val="1"/>
        </w:numPr>
        <w:spacing w:after="80"/>
      </w:pPr>
      <w:r>
        <w:t xml:space="preserve">Full 7-Criteria structure in navigation, data model, and UI (all Criteria visible and browsable).</w:t>
      </w:r>
    </w:p>
    <w:p>
      <w:pPr>
        <w:pStyle w:val="ListParagraph"/>
        <w:numPr>
          <w:ilvl w:val="0"/>
          <w:numId w:val="1"/>
        </w:numPr>
        <w:spacing w:after="80"/>
      </w:pPr>
      <w:r>
        <w:t xml:space="preserve">Production-grade AI intelligence (classification, validation, gap detection, scoring, recommendations) fully implemented and tested for Criterion 2, Criterion 3, and Criterion 6.</w:t>
      </w:r>
    </w:p>
    <w:p>
      <w:pPr>
        <w:pStyle w:val="ListParagraph"/>
        <w:numPr>
          <w:ilvl w:val="0"/>
          <w:numId w:val="1"/>
        </w:numPr>
        <w:spacing w:after="80"/>
      </w:pPr>
      <w:r>
        <w:t xml:space="preserve">Searchable evidence repository across supported criteria.</w:t>
      </w:r>
    </w:p>
    <w:p>
      <w:pPr>
        <w:pStyle w:val="Heading2"/>
        <w:spacing w:after="120" w:before="260"/>
      </w:pPr>
      <w:r>
        <w:t xml:space="preserve">4.2 In Scope (🟡 Supporting — present, simplified)</w:t>
      </w:r>
    </w:p>
    <w:p>
      <w:pPr>
        <w:pStyle w:val="ListParagraph"/>
        <w:numPr>
          <w:ilvl w:val="0"/>
          <w:numId w:val="1"/>
        </w:numPr>
        <w:spacing w:after="80"/>
      </w:pPr>
      <w:r>
        <w:t xml:space="preserve">Principal and Faculty Member dashboards — foundational, read-only or limited-write views.</w:t>
      </w:r>
    </w:p>
    <w:p>
      <w:pPr>
        <w:pStyle w:val="ListParagraph"/>
        <w:numPr>
          <w:ilvl w:val="0"/>
          <w:numId w:val="1"/>
        </w:numPr>
        <w:spacing w:after="80"/>
      </w:pPr>
      <w:r>
        <w:t xml:space="preserve">AI Q&amp;A assistant — conversational search over evidence within the 3 fully-supported Criteria.</w:t>
      </w:r>
    </w:p>
    <w:p>
      <w:pPr>
        <w:pStyle w:val="ListParagraph"/>
        <w:numPr>
          <w:ilvl w:val="0"/>
          <w:numId w:val="1"/>
        </w:numPr>
        <w:spacing w:after="80"/>
      </w:pPr>
      <w:r>
        <w:t xml:space="preserve">AQAR/SSR draft content generation — for the 3 fully-supported Criteria, exportable.</w:t>
      </w:r>
    </w:p>
    <w:p>
      <w:pPr>
        <w:pStyle w:val="ListParagraph"/>
        <w:numPr>
          <w:ilvl w:val="0"/>
          <w:numId w:val="1"/>
        </w:numPr>
        <w:spacing w:after="80"/>
      </w:pPr>
      <w:r>
        <w:t xml:space="preserve">Focused analytics — readiness trends and gap summaries (not a full BI suite).</w:t>
      </w:r>
    </w:p>
    <w:p>
      <w:pPr>
        <w:pStyle w:val="Heading2"/>
        <w:spacing w:after="120" w:before="260"/>
      </w:pPr>
      <w:r>
        <w:t xml:space="preserve">4.3 Out of Scope for v1.0 (⚪ Future)</w:t>
      </w:r>
    </w:p>
    <w:p>
      <w:pPr>
        <w:pStyle w:val="ListParagraph"/>
        <w:numPr>
          <w:ilvl w:val="0"/>
          <w:numId w:val="1"/>
        </w:numPr>
        <w:spacing w:after="80"/>
      </w:pPr>
      <w:r>
        <w:t xml:space="preserve">Fully built workflows for NAAC Coordinator, HOD, Data Entry Operator, and Institution Admin roles (RBAC/auth foundation only in v1.0).</w:t>
      </w:r>
    </w:p>
    <w:p>
      <w:pPr>
        <w:pStyle w:val="ListParagraph"/>
        <w:numPr>
          <w:ilvl w:val="0"/>
          <w:numId w:val="1"/>
        </w:numPr>
        <w:spacing w:after="80"/>
      </w:pPr>
      <w:r>
        <w:t xml:space="preserve">Full AI intelligence for Criteria 1, 4, 5, and 7 (structure/UI present; AI depth added in future releases).</w:t>
      </w:r>
    </w:p>
    <w:p>
      <w:pPr>
        <w:pStyle w:val="ListParagraph"/>
        <w:numPr>
          <w:ilvl w:val="0"/>
          <w:numId w:val="1"/>
        </w:numPr>
        <w:spacing w:after="80"/>
      </w:pPr>
      <w:r>
        <w:t xml:space="preserve">NBA/NIRF framework support.</w:t>
      </w:r>
    </w:p>
    <w:p>
      <w:pPr>
        <w:pStyle w:val="ListParagraph"/>
        <w:numPr>
          <w:ilvl w:val="0"/>
          <w:numId w:val="1"/>
        </w:numPr>
        <w:spacing w:after="80"/>
      </w:pPr>
      <w:r>
        <w:t xml:space="preserve">ERP/third-party institutional system integrations.</w:t>
      </w:r>
    </w:p>
    <w:p>
      <w:pPr>
        <w:pStyle w:val="ListParagraph"/>
        <w:numPr>
          <w:ilvl w:val="0"/>
          <w:numId w:val="1"/>
        </w:numPr>
        <w:spacing w:after="80"/>
      </w:pPr>
      <w:r>
        <w:t xml:space="preserve">Automated model retraining / continuous learning pipelines (corrections are logged for future use, not auto-retrained in v1.0).</w:t>
      </w:r>
    </w:p>
    <w:p>
      <w:pPr>
        <w:pStyle w:val="ListParagraph"/>
        <w:numPr>
          <w:ilvl w:val="0"/>
          <w:numId w:val="1"/>
        </w:numPr>
        <w:spacing w:after="80"/>
      </w:pPr>
      <w:r>
        <w:t xml:space="preserve">ZIP batch upload (stretch goal only, added if time permits).</w:t>
      </w:r>
    </w:p>
    <w:p>
      <w:pPr>
        <w:pStyle w:val="ListParagraph"/>
        <w:numPr>
          <w:ilvl w:val="0"/>
          <w:numId w:val="1"/>
        </w:numPr>
        <w:spacing w:after="80"/>
      </w:pPr>
      <w:r>
        <w:t xml:space="preserve">Excel and image (OCR) evidence ingestion beyond best-effort support (PDF and DOCX are the fully robust formats in v1.0).</w:t>
      </w:r>
    </w:p>
    <w:p>
      <w:pPr>
        <w:pStyle w:val="Heading1"/>
        <w:spacing w:after="160" w:before="360"/>
      </w:pPr>
      <w:r>
        <w:t xml:space="preserve">5. Core Workflow — Evidence Upload to Readiness Update</w:t>
      </w:r>
    </w:p>
    <w:p>
      <w:pPr>
        <w:spacing w:after="140"/>
      </w:pPr>
      <w:r>
        <w:t xml:space="preserve">This is the product's central loop and its primary source of demonstrable value.</w:t>
      </w:r>
    </w:p>
    <w:p>
      <w:pPr>
        <w:pStyle w:val="ListParagraph"/>
        <w:numPr>
          <w:ilvl w:val="0"/>
          <w:numId w:val="1"/>
        </w:numPr>
        <w:spacing w:after="80"/>
      </w:pPr>
      <w:r>
        <w:t xml:space="preserve">1. Upload — IQAC Coordinator (or Criterion Coordinator) uploads one or more evidence files (PDF, DOCX; images/Excel best-effort).</w:t>
      </w:r>
    </w:p>
    <w:p>
      <w:pPr>
        <w:pStyle w:val="ListParagraph"/>
        <w:numPr>
          <w:ilvl w:val="0"/>
          <w:numId w:val="1"/>
        </w:numPr>
        <w:spacing w:after="80"/>
      </w:pPr>
      <w:r>
        <w:t xml:space="preserve">2. Document Processing — System extracts text, tables, metadata, and structural info (title, date, department, organiser, authors, participants, document type).</w:t>
      </w:r>
    </w:p>
    <w:p>
      <w:pPr>
        <w:pStyle w:val="ListParagraph"/>
        <w:numPr>
          <w:ilvl w:val="0"/>
          <w:numId w:val="1"/>
        </w:numPr>
        <w:spacing w:after="80"/>
      </w:pPr>
      <w:r>
        <w:t xml:space="preserve">3. AI Classification — AI identifies document category (certificate, MoU, research paper, event report, audit report, policy, etc.) and maps it to Criterion, Key Indicator, and Metric, with a confidence score.</w:t>
      </w:r>
    </w:p>
    <w:p>
      <w:pPr>
        <w:pStyle w:val="ListParagraph"/>
        <w:numPr>
          <w:ilvl w:val="0"/>
          <w:numId w:val="1"/>
        </w:numPr>
        <w:spacing w:after="80"/>
      </w:pPr>
      <w:r>
        <w:t xml:space="preserve">4. Evidence Validation — AI checks completeness and quality: duplicate detection, date verification, signature presence, required attachments, missing supporting evidence.</w:t>
      </w:r>
    </w:p>
    <w:p>
      <w:pPr>
        <w:pStyle w:val="ListParagraph"/>
        <w:numPr>
          <w:ilvl w:val="0"/>
          <w:numId w:val="1"/>
        </w:numPr>
        <w:spacing w:after="80"/>
      </w:pPr>
      <w:r>
        <w:t xml:space="preserve">5. Readiness Impact Analysis — System recalculates Metric, Key Indicator, Criterion, and Institution readiness scores and identifies remaining gaps.</w:t>
      </w:r>
    </w:p>
    <w:p>
      <w:pPr>
        <w:pStyle w:val="ListParagraph"/>
        <w:numPr>
          <w:ilvl w:val="0"/>
          <w:numId w:val="1"/>
        </w:numPr>
        <w:spacing w:after="80"/>
      </w:pPr>
      <w:r>
        <w:t xml:space="preserve">6. AI Recommendations — Actionable, specific suggestions (e.g. "Attendance sheet is missing", "This document also supports Criterion 7.1.2").</w:t>
      </w:r>
    </w:p>
    <w:p>
      <w:pPr>
        <w:pStyle w:val="ListParagraph"/>
        <w:numPr>
          <w:ilvl w:val="0"/>
          <w:numId w:val="1"/>
        </w:numPr>
        <w:spacing w:after="80"/>
      </w:pPr>
      <w:r>
        <w:t xml:space="preserve">7. Human Approval — Coordinator reviews, edits if needed, and approves the AI's classification and mapping. The coordinator remains the final authority.</w:t>
      </w:r>
    </w:p>
    <w:p>
      <w:pPr>
        <w:pStyle w:val="ListParagraph"/>
        <w:numPr>
          <w:ilvl w:val="0"/>
          <w:numId w:val="1"/>
        </w:numPr>
        <w:spacing w:after="80"/>
      </w:pPr>
      <w:r>
        <w:t xml:space="preserve">8. Knowledge Base Update — Approved documents become part of the institution's searchable evidence base, available to AI Q&amp;A and AQAR/SSR generation.</w:t>
      </w:r>
    </w:p>
    <w:p>
      <w:pPr>
        <w:pStyle w:val="ListParagraph"/>
        <w:numPr>
          <w:ilvl w:val="0"/>
          <w:numId w:val="1"/>
        </w:numPr>
        <w:spacing w:after="80"/>
      </w:pPr>
      <w:r>
        <w:t xml:space="preserve">9. Continuous Learning (logging only) — Coordinator corrections are recorded to inform future improvements; no automatic retraining occurs in v1.0.</w:t>
      </w:r>
    </w:p>
    <w:p>
      <w:pPr>
        <w:pStyle w:val="Heading1"/>
        <w:spacing w:after="160" w:before="360"/>
      </w:pPr>
      <w:r>
        <w:t xml:space="preserve">6. Readiness Scoring Model</w:t>
      </w:r>
    </w:p>
    <w:p>
      <w:pPr>
        <w:spacing w:after="140"/>
      </w:pPr>
      <w:r>
        <w:t xml:space="preserve">The Readiness Score is calculated bottom-up, following NAAC's own hierarchical structure, and is designed to be fully explainable at every level — a user can always see why a score was assigned, what evidence contributed, what is missing, and what action would improve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A5F" w:color="auto" w:val="clear"/>
            <w:tcMar>
              <w:top w:type="dxa" w:w="80"/>
              <w:left w:type="dxa" w:w="100"/>
              <w:bottom w:type="dxa" w:w="80"/>
              <w:right w:type="dxa" w:w="100"/>
            </w:tcMar>
          </w:tcPr>
          <w:p>
            <w:r>
              <w:rPr>
                <w:b/>
                <w:bCs/>
                <w:color w:val="FFFFFF"/>
                <w:sz w:val="20"/>
                <w:szCs w:val="20"/>
              </w:rPr>
              <w:t xml:space="preserve">Level</w:t>
            </w:r>
          </w:p>
        </w:tc>
        <w:tc>
          <w:tcPr>
            <w:tcW w:type="dxa" w:w="6160"/>
            <w:shd w:fill="1F3A5F" w:color="auto" w:val="clear"/>
            <w:tcMar>
              <w:top w:type="dxa" w:w="80"/>
              <w:left w:type="dxa" w:w="100"/>
              <w:bottom w:type="dxa" w:w="80"/>
              <w:right w:type="dxa" w:w="100"/>
            </w:tcMar>
          </w:tcPr>
          <w:p>
            <w:r>
              <w:rPr>
                <w:b/>
                <w:bCs/>
                <w:color w:val="FFFFFF"/>
                <w:sz w:val="20"/>
                <w:szCs w:val="20"/>
              </w:rPr>
              <w:t xml:space="preserve">Calculation Basis</w:t>
            </w:r>
          </w:p>
        </w:tc>
      </w:tr>
      <w:tr>
        <w:tc>
          <w:tcPr>
            <w:tcW w:type="dxa" w:w="3200"/>
            <w:tcMar>
              <w:top w:type="dxa" w:w="80"/>
              <w:left w:type="dxa" w:w="100"/>
              <w:bottom w:type="dxa" w:w="80"/>
              <w:right w:type="dxa" w:w="100"/>
            </w:tcMar>
          </w:tcPr>
          <w:p>
            <w:r>
              <w:rPr>
                <w:sz w:val="20"/>
                <w:szCs w:val="20"/>
              </w:rPr>
              <w:t xml:space="preserve">Metric Readiness Score</w:t>
            </w:r>
          </w:p>
        </w:tc>
        <w:tc>
          <w:tcPr>
            <w:tcW w:type="dxa" w:w="6160"/>
            <w:tcMar>
              <w:top w:type="dxa" w:w="80"/>
              <w:left w:type="dxa" w:w="100"/>
              <w:bottom w:type="dxa" w:w="80"/>
              <w:right w:type="dxa" w:w="100"/>
            </w:tcMar>
          </w:tcPr>
          <w:p>
            <w:r>
              <w:rPr>
                <w:sz w:val="20"/>
                <w:szCs w:val="20"/>
              </w:rPr>
              <w:t xml:space="preserve">Evidence availability, document quality, AI classification confidence, completeness of required supporting documents, compliance with NAAC's stated requirements for that Metric.</w:t>
            </w:r>
          </w:p>
        </w:tc>
      </w:tr>
      <w:tr>
        <w:tc>
          <w:tcPr>
            <w:tcW w:type="dxa" w:w="3200"/>
            <w:shd w:fill="EAF1F8" w:color="auto" w:val="clear"/>
            <w:tcMar>
              <w:top w:type="dxa" w:w="80"/>
              <w:left w:type="dxa" w:w="100"/>
              <w:bottom w:type="dxa" w:w="80"/>
              <w:right w:type="dxa" w:w="100"/>
            </w:tcMar>
          </w:tcPr>
          <w:p>
            <w:r>
              <w:rPr>
                <w:sz w:val="20"/>
                <w:szCs w:val="20"/>
              </w:rPr>
              <w:t xml:space="preserve">Key Indicator Readiness Score</w:t>
            </w:r>
          </w:p>
        </w:tc>
        <w:tc>
          <w:tcPr>
            <w:tcW w:type="dxa" w:w="6160"/>
            <w:shd w:fill="EAF1F8" w:color="auto" w:val="clear"/>
            <w:tcMar>
              <w:top w:type="dxa" w:w="80"/>
              <w:left w:type="dxa" w:w="100"/>
              <w:bottom w:type="dxa" w:w="80"/>
              <w:right w:type="dxa" w:w="100"/>
            </w:tcMar>
          </w:tcPr>
          <w:p>
            <w:r>
              <w:rPr>
                <w:sz w:val="20"/>
                <w:szCs w:val="20"/>
              </w:rPr>
              <w:t xml:space="preserve">Weighted aggregation of its constituent Metric scores, using NAAC's published weightages where applicable.</w:t>
            </w:r>
          </w:p>
        </w:tc>
      </w:tr>
      <w:tr>
        <w:tc>
          <w:tcPr>
            <w:tcW w:type="dxa" w:w="3200"/>
            <w:tcMar>
              <w:top w:type="dxa" w:w="80"/>
              <w:left w:type="dxa" w:w="100"/>
              <w:bottom w:type="dxa" w:w="80"/>
              <w:right w:type="dxa" w:w="100"/>
            </w:tcMar>
          </w:tcPr>
          <w:p>
            <w:r>
              <w:rPr>
                <w:sz w:val="20"/>
                <w:szCs w:val="20"/>
              </w:rPr>
              <w:t xml:space="preserve">Criterion Readiness Score</w:t>
            </w:r>
          </w:p>
        </w:tc>
        <w:tc>
          <w:tcPr>
            <w:tcW w:type="dxa" w:w="6160"/>
            <w:tcMar>
              <w:top w:type="dxa" w:w="80"/>
              <w:left w:type="dxa" w:w="100"/>
              <w:bottom w:type="dxa" w:w="80"/>
              <w:right w:type="dxa" w:w="100"/>
            </w:tcMar>
          </w:tcPr>
          <w:p>
            <w:r>
              <w:rPr>
                <w:sz w:val="20"/>
                <w:szCs w:val="20"/>
              </w:rPr>
              <w:t xml:space="preserve">Aggregation of all Key Indicator scores within that Criterion.</w:t>
            </w:r>
          </w:p>
        </w:tc>
      </w:tr>
      <w:tr>
        <w:tc>
          <w:tcPr>
            <w:tcW w:type="dxa" w:w="3200"/>
            <w:shd w:fill="EAF1F8" w:color="auto" w:val="clear"/>
            <w:tcMar>
              <w:top w:type="dxa" w:w="80"/>
              <w:left w:type="dxa" w:w="100"/>
              <w:bottom w:type="dxa" w:w="80"/>
              <w:right w:type="dxa" w:w="100"/>
            </w:tcMar>
          </w:tcPr>
          <w:p>
            <w:r>
              <w:rPr>
                <w:sz w:val="20"/>
                <w:szCs w:val="20"/>
              </w:rPr>
              <w:t xml:space="preserve">Overall Institutional Readiness Score</w:t>
            </w:r>
          </w:p>
        </w:tc>
        <w:tc>
          <w:tcPr>
            <w:tcW w:type="dxa" w:w="6160"/>
            <w:shd w:fill="EAF1F8" w:color="auto" w:val="clear"/>
            <w:tcMar>
              <w:top w:type="dxa" w:w="80"/>
              <w:left w:type="dxa" w:w="100"/>
              <w:bottom w:type="dxa" w:w="80"/>
              <w:right w:type="dxa" w:w="100"/>
            </w:tcMar>
          </w:tcPr>
          <w:p>
            <w:r>
              <w:rPr>
                <w:sz w:val="20"/>
                <w:szCs w:val="20"/>
              </w:rPr>
              <w:t xml:space="preserve">Weighted aggregation across all 7 Criteria, using NAAC's published Criterion weightages.</w:t>
            </w:r>
          </w:p>
        </w:tc>
      </w:tr>
    </w:tbl>
    <w:p>
      <w:pPr>
        <w:spacing w:after="140"/>
      </w:pPr>
      <w:r>
        <w:rPr>
          <w:b/>
          <w:bCs/>
        </w:rPr>
        <w:t xml:space="preserve">Explainability requirement: Every score displayed in the UI must be traceable to the underlying evidence — the UI will always provide a "why this score" breakdown showing contributing documents, detected gaps, and specific next actions.</w:t>
      </w:r>
    </w:p>
    <w:p>
      <w:pPr>
        <w:pStyle w:val="Heading1"/>
        <w:spacing w:after="160" w:before="360"/>
      </w:pPr>
      <w:r>
        <w:t xml:space="preserve">7. Functional Requirements</w:t>
      </w:r>
    </w:p>
    <w:p>
      <w:pPr>
        <w:pStyle w:val="Heading2"/>
        <w:spacing w:after="120" w:before="260"/>
      </w:pPr>
      <w:r>
        <w:t xml:space="preserve">7.1 Authentication &amp; Multi-Tenancy</w:t>
      </w:r>
    </w:p>
    <w:p>
      <w:pPr>
        <w:pStyle w:val="ListParagraph"/>
        <w:numPr>
          <w:ilvl w:val="0"/>
          <w:numId w:val="1"/>
        </w:numPr>
        <w:spacing w:after="80"/>
      </w:pPr>
      <w:r>
        <w:t xml:space="preserve">Institution self-registration, creating an isolated tenant workspace.</w:t>
      </w:r>
    </w:p>
    <w:p>
      <w:pPr>
        <w:pStyle w:val="ListParagraph"/>
        <w:numPr>
          <w:ilvl w:val="0"/>
          <w:numId w:val="1"/>
        </w:numPr>
        <w:spacing w:after="80"/>
      </w:pPr>
      <w:r>
        <w:t xml:space="preserve">Secure login with session/token-based authentication.</w:t>
      </w:r>
    </w:p>
    <w:p>
      <w:pPr>
        <w:pStyle w:val="ListParagraph"/>
        <w:numPr>
          <w:ilvl w:val="0"/>
          <w:numId w:val="1"/>
        </w:numPr>
        <w:spacing w:after="80"/>
      </w:pPr>
      <w:r>
        <w:t xml:space="preserve">Strict data isolation — no institution can access another institution's data under any role.</w:t>
      </w:r>
    </w:p>
    <w:p>
      <w:pPr>
        <w:pStyle w:val="ListParagraph"/>
        <w:numPr>
          <w:ilvl w:val="0"/>
          <w:numId w:val="1"/>
        </w:numPr>
        <w:spacing w:after="80"/>
      </w:pPr>
      <w:r>
        <w:t xml:space="preserve">Role assignment during user invitation/onboarding, from the 8 defined roles.</w:t>
      </w:r>
    </w:p>
    <w:p>
      <w:pPr>
        <w:pStyle w:val="Heading2"/>
        <w:spacing w:after="120" w:before="260"/>
      </w:pPr>
      <w:r>
        <w:t xml:space="preserve">7.2 Evidence &amp; Document Intelligence</w:t>
      </w:r>
    </w:p>
    <w:p>
      <w:pPr>
        <w:pStyle w:val="ListParagraph"/>
        <w:numPr>
          <w:ilvl w:val="0"/>
          <w:numId w:val="1"/>
        </w:numPr>
        <w:spacing w:after="80"/>
      </w:pPr>
      <w:r>
        <w:t xml:space="preserve">Upload interface supporting multi-file upload (PDF, DOCX fully supported; images and Excel best-effort in v1.0).</w:t>
      </w:r>
    </w:p>
    <w:p>
      <w:pPr>
        <w:pStyle w:val="ListParagraph"/>
        <w:numPr>
          <w:ilvl w:val="0"/>
          <w:numId w:val="1"/>
        </w:numPr>
        <w:spacing w:after="80"/>
      </w:pPr>
      <w:r>
        <w:t xml:space="preserve">Automated text/table/metadata extraction pipeline.</w:t>
      </w:r>
    </w:p>
    <w:p>
      <w:pPr>
        <w:pStyle w:val="ListParagraph"/>
        <w:numPr>
          <w:ilvl w:val="0"/>
          <w:numId w:val="1"/>
        </w:numPr>
        <w:spacing w:after="80"/>
      </w:pPr>
      <w:r>
        <w:t xml:space="preserve">AI classification engine mapping documents to Criterion → Key Indicator → Metric, with confidence scores, for Criteria 2, 3, and 6.</w:t>
      </w:r>
    </w:p>
    <w:p>
      <w:pPr>
        <w:pStyle w:val="ListParagraph"/>
        <w:numPr>
          <w:ilvl w:val="0"/>
          <w:numId w:val="1"/>
        </w:numPr>
        <w:spacing w:after="80"/>
      </w:pPr>
      <w:r>
        <w:t xml:space="preserve">Evidence validation checks: duplicate detection, date/signature presence, completeness against Metric requirements.</w:t>
      </w:r>
    </w:p>
    <w:p>
      <w:pPr>
        <w:pStyle w:val="ListParagraph"/>
        <w:numPr>
          <w:ilvl w:val="0"/>
          <w:numId w:val="1"/>
        </w:numPr>
        <w:spacing w:after="80"/>
      </w:pPr>
      <w:r>
        <w:t xml:space="preserve">Human-in-the-loop approval screen showing AI's suggested classification, confidence, and detected issues, editable before commit.</w:t>
      </w:r>
    </w:p>
    <w:p>
      <w:pPr>
        <w:pStyle w:val="Heading2"/>
        <w:spacing w:after="120" w:before="260"/>
      </w:pPr>
      <w:r>
        <w:t xml:space="preserve">7.3 Readiness Dashboard</w:t>
      </w:r>
    </w:p>
    <w:p>
      <w:pPr>
        <w:pStyle w:val="ListParagraph"/>
        <w:numPr>
          <w:ilvl w:val="0"/>
          <w:numId w:val="1"/>
        </w:numPr>
        <w:spacing w:after="80"/>
      </w:pPr>
      <w:r>
        <w:t xml:space="preserve">Institution-level overall readiness score with trend over time.</w:t>
      </w:r>
    </w:p>
    <w:p>
      <w:pPr>
        <w:pStyle w:val="ListParagraph"/>
        <w:numPr>
          <w:ilvl w:val="0"/>
          <w:numId w:val="1"/>
        </w:numPr>
        <w:spacing w:after="80"/>
      </w:pPr>
      <w:r>
        <w:t xml:space="preserve">Per-Criterion readiness cards for all 7 Criteria (full detail for 2, 3, 6; summary/placeholder state for the rest).</w:t>
      </w:r>
    </w:p>
    <w:p>
      <w:pPr>
        <w:pStyle w:val="ListParagraph"/>
        <w:numPr>
          <w:ilvl w:val="0"/>
          <w:numId w:val="1"/>
        </w:numPr>
        <w:spacing w:after="80"/>
      </w:pPr>
      <w:r>
        <w:t xml:space="preserve">Drill-down from Criterion → Key Indicator → Metric → contributing evidence.</w:t>
      </w:r>
    </w:p>
    <w:p>
      <w:pPr>
        <w:pStyle w:val="ListParagraph"/>
        <w:numPr>
          <w:ilvl w:val="0"/>
          <w:numId w:val="1"/>
        </w:numPr>
        <w:spacing w:after="80"/>
      </w:pPr>
      <w:r>
        <w:t xml:space="preserve">Gap list: Metrics with missing or weak evidence, sorted by impact.</w:t>
      </w:r>
    </w:p>
    <w:p>
      <w:pPr>
        <w:pStyle w:val="ListParagraph"/>
        <w:numPr>
          <w:ilvl w:val="0"/>
          <w:numId w:val="1"/>
        </w:numPr>
        <w:spacing w:after="80"/>
      </w:pPr>
      <w:r>
        <w:t xml:space="preserve">Actionable recommendation feed.</w:t>
      </w:r>
    </w:p>
    <w:p>
      <w:pPr>
        <w:pStyle w:val="Heading2"/>
        <w:spacing w:after="120" w:before="260"/>
      </w:pPr>
      <w:r>
        <w:t xml:space="preserve">7.4 Supporting Features</w:t>
      </w:r>
    </w:p>
    <w:p>
      <w:pPr>
        <w:pStyle w:val="ListParagraph"/>
        <w:numPr>
          <w:ilvl w:val="0"/>
          <w:numId w:val="1"/>
        </w:numPr>
        <w:spacing w:after="80"/>
      </w:pPr>
      <w:r>
        <w:t xml:space="preserve">AI Q&amp;A assistant: natural-language questions answered using the institution's own approved evidence within supported Criteria, with source citations.</w:t>
      </w:r>
    </w:p>
    <w:p>
      <w:pPr>
        <w:pStyle w:val="ListParagraph"/>
        <w:numPr>
          <w:ilvl w:val="0"/>
          <w:numId w:val="1"/>
        </w:numPr>
        <w:spacing w:after="80"/>
      </w:pPr>
      <w:r>
        <w:t xml:space="preserve">AQAR/SSR draft generation: auto-drafted narrative sections for supported Criteria, based on approved evidence, exportable as a document.</w:t>
      </w:r>
    </w:p>
    <w:p>
      <w:pPr>
        <w:pStyle w:val="ListParagraph"/>
        <w:numPr>
          <w:ilvl w:val="0"/>
          <w:numId w:val="1"/>
        </w:numPr>
        <w:spacing w:after="80"/>
      </w:pPr>
      <w:r>
        <w:t xml:space="preserve">Analytics: readiness trend charts, gap distribution, evidence-count-by-Criterion views.</w:t>
      </w:r>
    </w:p>
    <w:p>
      <w:pPr>
        <w:pStyle w:val="Heading2"/>
        <w:spacing w:after="120" w:before="260"/>
      </w:pPr>
      <w:r>
        <w:t xml:space="preserve">7.5 Role-Based Dashboards</w:t>
      </w:r>
    </w:p>
    <w:p>
      <w:pPr>
        <w:pStyle w:val="ListParagraph"/>
        <w:numPr>
          <w:ilvl w:val="0"/>
          <w:numId w:val="1"/>
        </w:numPr>
        <w:spacing w:after="80"/>
      </w:pPr>
      <w:r>
        <w:t xml:space="preserve">IQAC Coordinator: full institution-wide view, all upload/approval/readiness/reporting capabilities.</w:t>
      </w:r>
    </w:p>
    <w:p>
      <w:pPr>
        <w:pStyle w:val="ListParagraph"/>
        <w:numPr>
          <w:ilvl w:val="0"/>
          <w:numId w:val="1"/>
        </w:numPr>
        <w:spacing w:after="80"/>
      </w:pPr>
      <w:r>
        <w:t xml:space="preserve">Criterion Coordinator: scoped to assigned Criterion(s), same core capabilities within that scope.</w:t>
      </w:r>
    </w:p>
    <w:p>
      <w:pPr>
        <w:pStyle w:val="ListParagraph"/>
        <w:numPr>
          <w:ilvl w:val="0"/>
          <w:numId w:val="1"/>
        </w:numPr>
        <w:spacing w:after="80"/>
      </w:pPr>
      <w:r>
        <w:t xml:space="preserve">Principal: read-only institution-wide readiness overview.</w:t>
      </w:r>
    </w:p>
    <w:p>
      <w:pPr>
        <w:pStyle w:val="ListParagraph"/>
        <w:numPr>
          <w:ilvl w:val="0"/>
          <w:numId w:val="1"/>
        </w:numPr>
        <w:spacing w:after="80"/>
      </w:pPr>
      <w:r>
        <w:t xml:space="preserve">Faculty Member: upload evidence relevant to their own work; view status of their submissions.</w:t>
      </w:r>
    </w:p>
    <w:p>
      <w:pPr>
        <w:pStyle w:val="ListParagraph"/>
        <w:numPr>
          <w:ilvl w:val="0"/>
          <w:numId w:val="1"/>
        </w:numPr>
        <w:spacing w:after="80"/>
      </w:pPr>
      <w:r>
        <w:t xml:space="preserve">NAAC Coordinator / HOD / Data Entry Operator / Institution Admin: authenticated access with basic placeholder dashboard; full workflows are future work.</w:t>
      </w:r>
    </w:p>
    <w:p>
      <w:pPr>
        <w:pStyle w:val="Heading1"/>
        <w:spacing w:after="160" w:before="360"/>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A5F" w:color="auto" w:val="clear"/>
            <w:tcMar>
              <w:top w:type="dxa" w:w="80"/>
              <w:left w:type="dxa" w:w="100"/>
              <w:bottom w:type="dxa" w:w="80"/>
              <w:right w:type="dxa" w:w="100"/>
            </w:tcMar>
          </w:tcPr>
          <w:p>
            <w:r>
              <w:rPr>
                <w:b/>
                <w:bCs/>
                <w:color w:val="FFFFFF"/>
                <w:sz w:val="20"/>
                <w:szCs w:val="20"/>
              </w:rPr>
              <w:t xml:space="preserve">Category</w:t>
            </w:r>
          </w:p>
        </w:tc>
        <w:tc>
          <w:tcPr>
            <w:tcW w:type="dxa" w:w="6960"/>
            <w:shd w:fill="1F3A5F" w:color="auto"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sz w:val="20"/>
                <w:szCs w:val="20"/>
              </w:rPr>
              <w:t xml:space="preserve">Security</w:t>
            </w:r>
          </w:p>
        </w:tc>
        <w:tc>
          <w:tcPr>
            <w:tcW w:type="dxa" w:w="6960"/>
            <w:tcMar>
              <w:top w:type="dxa" w:w="80"/>
              <w:left w:type="dxa" w:w="100"/>
              <w:bottom w:type="dxa" w:w="80"/>
              <w:right w:type="dxa" w:w="100"/>
            </w:tcMar>
          </w:tcPr>
          <w:p>
            <w:r>
              <w:rPr>
                <w:sz w:val="20"/>
                <w:szCs w:val="20"/>
              </w:rPr>
              <w:t xml:space="preserve">Tenant data isolation; encrypted credentials; role-scoped API access; secure file storage.</w:t>
            </w:r>
          </w:p>
        </w:tc>
      </w:tr>
      <w:tr>
        <w:tc>
          <w:tcPr>
            <w:tcW w:type="dxa" w:w="2400"/>
            <w:shd w:fill="EAF1F8" w:color="auto" w:val="clear"/>
            <w:tcMar>
              <w:top w:type="dxa" w:w="80"/>
              <w:left w:type="dxa" w:w="100"/>
              <w:bottom w:type="dxa" w:w="80"/>
              <w:right w:type="dxa" w:w="100"/>
            </w:tcMar>
          </w:tcPr>
          <w:p>
            <w:r>
              <w:rPr>
                <w:sz w:val="20"/>
                <w:szCs w:val="20"/>
              </w:rPr>
              <w:t xml:space="preserve">Reliability</w:t>
            </w:r>
          </w:p>
        </w:tc>
        <w:tc>
          <w:tcPr>
            <w:tcW w:type="dxa" w:w="6960"/>
            <w:shd w:fill="EAF1F8" w:color="auto" w:val="clear"/>
            <w:tcMar>
              <w:top w:type="dxa" w:w="80"/>
              <w:left w:type="dxa" w:w="100"/>
              <w:bottom w:type="dxa" w:w="80"/>
              <w:right w:type="dxa" w:w="100"/>
            </w:tcMar>
          </w:tcPr>
          <w:p>
            <w:r>
              <w:rPr>
                <w:sz w:val="20"/>
                <w:szCs w:val="20"/>
              </w:rPr>
              <w:t xml:space="preserve">Graceful error handling and clear feedback for extraction/classification failures; no silent data loss.</w:t>
            </w:r>
          </w:p>
        </w:tc>
      </w:tr>
      <w:tr>
        <w:tc>
          <w:tcPr>
            <w:tcW w:type="dxa" w:w="2400"/>
            <w:tcMar>
              <w:top w:type="dxa" w:w="80"/>
              <w:left w:type="dxa" w:w="100"/>
              <w:bottom w:type="dxa" w:w="80"/>
              <w:right w:type="dxa" w:w="100"/>
            </w:tcMar>
          </w:tcPr>
          <w:p>
            <w:r>
              <w:rPr>
                <w:sz w:val="20"/>
                <w:szCs w:val="20"/>
              </w:rPr>
              <w:t xml:space="preserve">Explainability</w:t>
            </w:r>
          </w:p>
        </w:tc>
        <w:tc>
          <w:tcPr>
            <w:tcW w:type="dxa" w:w="6960"/>
            <w:tcMar>
              <w:top w:type="dxa" w:w="80"/>
              <w:left w:type="dxa" w:w="100"/>
              <w:bottom w:type="dxa" w:w="80"/>
              <w:right w:type="dxa" w:w="100"/>
            </w:tcMar>
          </w:tcPr>
          <w:p>
            <w:r>
              <w:rPr>
                <w:sz w:val="20"/>
                <w:szCs w:val="20"/>
              </w:rPr>
              <w:t xml:space="preserve">Every AI-generated score or recommendation must show its supporting evidence and reasoning.</w:t>
            </w:r>
          </w:p>
        </w:tc>
      </w:tr>
      <w:tr>
        <w:tc>
          <w:tcPr>
            <w:tcW w:type="dxa" w:w="2400"/>
            <w:shd w:fill="EAF1F8" w:color="auto" w:val="clear"/>
            <w:tcMar>
              <w:top w:type="dxa" w:w="80"/>
              <w:left w:type="dxa" w:w="100"/>
              <w:bottom w:type="dxa" w:w="80"/>
              <w:right w:type="dxa" w:w="100"/>
            </w:tcMar>
          </w:tcPr>
          <w:p>
            <w:r>
              <w:rPr>
                <w:sz w:val="20"/>
                <w:szCs w:val="20"/>
              </w:rPr>
              <w:t xml:space="preserve">Usability</w:t>
            </w:r>
          </w:p>
        </w:tc>
        <w:tc>
          <w:tcPr>
            <w:tcW w:type="dxa" w:w="6960"/>
            <w:shd w:fill="EAF1F8" w:color="auto" w:val="clear"/>
            <w:tcMar>
              <w:top w:type="dxa" w:w="80"/>
              <w:left w:type="dxa" w:w="100"/>
              <w:bottom w:type="dxa" w:w="80"/>
              <w:right w:type="dxa" w:w="100"/>
            </w:tcMar>
          </w:tcPr>
          <w:p>
            <w:r>
              <w:rPr>
                <w:sz w:val="20"/>
                <w:szCs w:val="20"/>
              </w:rPr>
              <w:t xml:space="preserve">Responsive UI; clear onboarding; empty/loading/error states designed, not default browser behaviour.</w:t>
            </w:r>
          </w:p>
        </w:tc>
      </w:tr>
      <w:tr>
        <w:tc>
          <w:tcPr>
            <w:tcW w:type="dxa" w:w="2400"/>
            <w:tcMar>
              <w:top w:type="dxa" w:w="80"/>
              <w:left w:type="dxa" w:w="100"/>
              <w:bottom w:type="dxa" w:w="80"/>
              <w:right w:type="dxa" w:w="100"/>
            </w:tcMar>
          </w:tcPr>
          <w:p>
            <w:r>
              <w:rPr>
                <w:sz w:val="20"/>
                <w:szCs w:val="20"/>
              </w:rPr>
              <w:t xml:space="preserve">Performance</w:t>
            </w:r>
          </w:p>
        </w:tc>
        <w:tc>
          <w:tcPr>
            <w:tcW w:type="dxa" w:w="6960"/>
            <w:tcMar>
              <w:top w:type="dxa" w:w="80"/>
              <w:left w:type="dxa" w:w="100"/>
              <w:bottom w:type="dxa" w:w="80"/>
              <w:right w:type="dxa" w:w="100"/>
            </w:tcMar>
          </w:tcPr>
          <w:p>
            <w:r>
              <w:rPr>
                <w:sz w:val="20"/>
                <w:szCs w:val="20"/>
              </w:rPr>
              <w:t xml:space="preserve">Document processing feedback (progress/status) for uploads; dashboard loads should feel responsive for demo-scale data.</w:t>
            </w:r>
          </w:p>
        </w:tc>
      </w:tr>
      <w:tr>
        <w:tc>
          <w:tcPr>
            <w:tcW w:type="dxa" w:w="2400"/>
            <w:shd w:fill="EAF1F8" w:color="auto" w:val="clear"/>
            <w:tcMar>
              <w:top w:type="dxa" w:w="80"/>
              <w:left w:type="dxa" w:w="100"/>
              <w:bottom w:type="dxa" w:w="80"/>
              <w:right w:type="dxa" w:w="100"/>
            </w:tcMar>
          </w:tcPr>
          <w:p>
            <w:r>
              <w:rPr>
                <w:sz w:val="20"/>
                <w:szCs w:val="20"/>
              </w:rPr>
              <w:t xml:space="preserve">Deployability</w:t>
            </w:r>
          </w:p>
        </w:tc>
        <w:tc>
          <w:tcPr>
            <w:tcW w:type="dxa" w:w="6960"/>
            <w:shd w:fill="EAF1F8" w:color="auto" w:val="clear"/>
            <w:tcMar>
              <w:top w:type="dxa" w:w="80"/>
              <w:left w:type="dxa" w:w="100"/>
              <w:bottom w:type="dxa" w:w="80"/>
              <w:right w:type="dxa" w:w="100"/>
            </w:tcMar>
          </w:tcPr>
          <w:p>
            <w:r>
              <w:rPr>
                <w:sz w:val="20"/>
                <w:szCs w:val="20"/>
              </w:rPr>
              <w:t xml:space="preserve">Deployed on a public URL, accessible without local setup, suitable for live judge/user demos.</w:t>
            </w:r>
          </w:p>
        </w:tc>
      </w:tr>
      <w:tr>
        <w:tc>
          <w:tcPr>
            <w:tcW w:type="dxa" w:w="2400"/>
            <w:tcMar>
              <w:top w:type="dxa" w:w="80"/>
              <w:left w:type="dxa" w:w="100"/>
              <w:bottom w:type="dxa" w:w="80"/>
              <w:right w:type="dxa" w:w="100"/>
            </w:tcMar>
          </w:tcPr>
          <w:p>
            <w:r>
              <w:rPr>
                <w:sz w:val="20"/>
                <w:szCs w:val="20"/>
              </w:rPr>
              <w:t xml:space="preserve">Extensibility</w:t>
            </w:r>
          </w:p>
        </w:tc>
        <w:tc>
          <w:tcPr>
            <w:tcW w:type="dxa" w:w="6960"/>
            <w:tcMar>
              <w:top w:type="dxa" w:w="80"/>
              <w:left w:type="dxa" w:w="100"/>
              <w:bottom w:type="dxa" w:w="80"/>
              <w:right w:type="dxa" w:w="100"/>
            </w:tcMar>
          </w:tcPr>
          <w:p>
            <w:r>
              <w:rPr>
                <w:sz w:val="20"/>
                <w:szCs w:val="20"/>
              </w:rPr>
              <w:t xml:space="preserve">Adding a new Criterion, Metric, or role must be a configuration/data change, not a redesign.</w:t>
            </w:r>
          </w:p>
        </w:tc>
      </w:tr>
    </w:tbl>
    <w:p>
      <w:pPr>
        <w:pStyle w:val="Heading1"/>
        <w:spacing w:after="160" w:before="360"/>
      </w:pPr>
      <w:r>
        <w:t xml:space="preserve">9. Success Metrics — Day 10 Definition of Done</w:t>
      </w:r>
    </w:p>
    <w:p>
      <w:pPr>
        <w:pStyle w:val="ListParagraph"/>
        <w:numPr>
          <w:ilvl w:val="0"/>
          <w:numId w:val="1"/>
        </w:numPr>
        <w:spacing w:after="80"/>
      </w:pPr>
      <w:r>
        <w:t xml:space="preserve">Live, publicly-accessible deployed URL (not localhost).</w:t>
      </w:r>
    </w:p>
    <w:p>
      <w:pPr>
        <w:pStyle w:val="ListParagraph"/>
        <w:numPr>
          <w:ilvl w:val="0"/>
          <w:numId w:val="1"/>
        </w:numPr>
        <w:spacing w:after="80"/>
      </w:pPr>
      <w:r>
        <w:t xml:space="preserve">A new institution can register and log in through a secure multi-tenant flow.</w:t>
      </w:r>
    </w:p>
    <w:p>
      <w:pPr>
        <w:pStyle w:val="ListParagraph"/>
        <w:numPr>
          <w:ilvl w:val="0"/>
          <w:numId w:val="1"/>
        </w:numPr>
        <w:spacing w:after="80"/>
      </w:pPr>
      <w:r>
        <w:t xml:space="preserve">IQAC Coordinator and Criterion Coordinator dashboards are fully functional; Principal and Faculty dashboards are functional in simplified form.</w:t>
      </w:r>
    </w:p>
    <w:p>
      <w:pPr>
        <w:pStyle w:val="ListParagraph"/>
        <w:numPr>
          <w:ilvl w:val="0"/>
          <w:numId w:val="1"/>
        </w:numPr>
        <w:spacing w:after="80"/>
      </w:pPr>
      <w:r>
        <w:t xml:space="preserve">A coordinator can upload a real evidence document and see it move through classification → validation → gap detection → recommendation → approval → knowledge base, end to end, without errors.</w:t>
      </w:r>
    </w:p>
    <w:p>
      <w:pPr>
        <w:pStyle w:val="ListParagraph"/>
        <w:numPr>
          <w:ilvl w:val="0"/>
          <w:numId w:val="1"/>
        </w:numPr>
        <w:spacing w:after="80"/>
      </w:pPr>
      <w:r>
        <w:t xml:space="preserve">The Readiness Dashboard shows explainable, drill-down scores for Criteria 2, 3, and 6 based on uploaded sample evidence.</w:t>
      </w:r>
    </w:p>
    <w:p>
      <w:pPr>
        <w:pStyle w:val="ListParagraph"/>
        <w:numPr>
          <w:ilvl w:val="0"/>
          <w:numId w:val="1"/>
        </w:numPr>
        <w:spacing w:after="80"/>
      </w:pPr>
      <w:r>
        <w:t xml:space="preserve">AI Q&amp;A returns cited, evidence-grounded answers for supported Criteria.</w:t>
      </w:r>
    </w:p>
    <w:p>
      <w:pPr>
        <w:pStyle w:val="ListParagraph"/>
        <w:numPr>
          <w:ilvl w:val="0"/>
          <w:numId w:val="1"/>
        </w:numPr>
        <w:spacing w:after="80"/>
      </w:pPr>
      <w:r>
        <w:t xml:space="preserve">AQAR/SSR draft generation produces usable narrative content for supported Criteria.</w:t>
      </w:r>
    </w:p>
    <w:p>
      <w:pPr>
        <w:pStyle w:val="ListParagraph"/>
        <w:numPr>
          <w:ilvl w:val="0"/>
          <w:numId w:val="1"/>
        </w:numPr>
        <w:spacing w:after="80"/>
      </w:pPr>
      <w:r>
        <w:t xml:space="preserve">UI is polished: consistent branding, onboarding flow, loading and error states, no dead links or obviously broken screens.</w:t>
      </w:r>
    </w:p>
    <w:p>
      <w:pPr>
        <w:pStyle w:val="ListParagraph"/>
        <w:numPr>
          <w:ilvl w:val="0"/>
          <w:numId w:val="1"/>
        </w:numPr>
        <w:spacing w:after="80"/>
      </w:pPr>
      <w:r>
        <w:t xml:space="preserve">Product is demo-ready for AB Talks judges, IQAC teams, and a professional portfolio/LinkedIn audience.</w:t>
      </w:r>
    </w:p>
    <w:p>
      <w:pPr>
        <w:pStyle w:val="Heading1"/>
        <w:spacing w:after="160" w:before="36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A5F" w:color="auto" w:val="clear"/>
            <w:tcMar>
              <w:top w:type="dxa" w:w="80"/>
              <w:left w:type="dxa" w:w="100"/>
              <w:bottom w:type="dxa" w:w="80"/>
              <w:right w:type="dxa" w:w="100"/>
            </w:tcMar>
          </w:tcPr>
          <w:p>
            <w:r>
              <w:rPr>
                <w:b/>
                <w:bCs/>
                <w:color w:val="FFFFFF"/>
                <w:sz w:val="20"/>
                <w:szCs w:val="20"/>
              </w:rPr>
              <w:t xml:space="preserve">Risk</w:t>
            </w:r>
          </w:p>
        </w:tc>
        <w:tc>
          <w:tcPr>
            <w:tcW w:type="dxa" w:w="6160"/>
            <w:shd w:fill="1F3A5F" w:color="auto" w:val="clear"/>
            <w:tcMar>
              <w:top w:type="dxa" w:w="80"/>
              <w:left w:type="dxa" w:w="100"/>
              <w:bottom w:type="dxa" w:w="80"/>
              <w:right w:type="dxa" w:w="100"/>
            </w:tcMar>
          </w:tcPr>
          <w:p>
            <w:r>
              <w:rPr>
                <w:b/>
                <w:bCs/>
                <w:color w:val="FFFFFF"/>
                <w:sz w:val="20"/>
                <w:szCs w:val="20"/>
              </w:rPr>
              <w:t xml:space="preserve">Mitigation</w:t>
            </w:r>
          </w:p>
        </w:tc>
      </w:tr>
      <w:tr>
        <w:tc>
          <w:tcPr>
            <w:tcW w:type="dxa" w:w="3200"/>
            <w:tcMar>
              <w:top w:type="dxa" w:w="80"/>
              <w:left w:type="dxa" w:w="100"/>
              <w:bottom w:type="dxa" w:w="80"/>
              <w:right w:type="dxa" w:w="100"/>
            </w:tcMar>
          </w:tcPr>
          <w:p>
            <w:r>
              <w:rPr>
                <w:sz w:val="20"/>
                <w:szCs w:val="20"/>
              </w:rPr>
              <w:t xml:space="preserve">10-day timeline vs. enterprise-scope ambition</w:t>
            </w:r>
          </w:p>
        </w:tc>
        <w:tc>
          <w:tcPr>
            <w:tcW w:type="dxa" w:w="6160"/>
            <w:tcMar>
              <w:top w:type="dxa" w:w="80"/>
              <w:left w:type="dxa" w:w="100"/>
              <w:bottom w:type="dxa" w:w="80"/>
              <w:right w:type="dxa" w:w="100"/>
            </w:tcMar>
          </w:tcPr>
          <w:p>
            <w:r>
              <w:rPr>
                <w:sz w:val="20"/>
                <w:szCs w:val="20"/>
              </w:rPr>
              <w:t xml:space="preserve">Scope frozen into 🟢/🟡/⚪ tiers; full role/criteria skeleton with concentrated AI depth on 3 Criteria and 2 primary roles.</w:t>
            </w:r>
          </w:p>
        </w:tc>
      </w:tr>
      <w:tr>
        <w:tc>
          <w:tcPr>
            <w:tcW w:type="dxa" w:w="3200"/>
            <w:shd w:fill="EAF1F8" w:color="auto" w:val="clear"/>
            <w:tcMar>
              <w:top w:type="dxa" w:w="80"/>
              <w:left w:type="dxa" w:w="100"/>
              <w:bottom w:type="dxa" w:w="80"/>
              <w:right w:type="dxa" w:w="100"/>
            </w:tcMar>
          </w:tcPr>
          <w:p>
            <w:r>
              <w:rPr>
                <w:sz w:val="20"/>
                <w:szCs w:val="20"/>
              </w:rPr>
              <w:t xml:space="preserve">No real institutional data available</w:t>
            </w:r>
          </w:p>
        </w:tc>
        <w:tc>
          <w:tcPr>
            <w:tcW w:type="dxa" w:w="6160"/>
            <w:shd w:fill="EAF1F8" w:color="auto" w:val="clear"/>
            <w:tcMar>
              <w:top w:type="dxa" w:w="80"/>
              <w:left w:type="dxa" w:w="100"/>
              <w:bottom w:type="dxa" w:w="80"/>
              <w:right w:type="dxa" w:w="100"/>
            </w:tcMar>
          </w:tcPr>
          <w:p>
            <w:r>
              <w:rPr>
                <w:sz w:val="20"/>
                <w:szCs w:val="20"/>
              </w:rPr>
              <w:t xml:space="preserve">Realistic synthetic evidence documents built for testing; architecture is data-source agnostic so real data can be substituted later without redesign.</w:t>
            </w:r>
          </w:p>
        </w:tc>
      </w:tr>
      <w:tr>
        <w:tc>
          <w:tcPr>
            <w:tcW w:type="dxa" w:w="3200"/>
            <w:tcMar>
              <w:top w:type="dxa" w:w="80"/>
              <w:left w:type="dxa" w:w="100"/>
              <w:bottom w:type="dxa" w:w="80"/>
              <w:right w:type="dxa" w:w="100"/>
            </w:tcMar>
          </w:tcPr>
          <w:p>
            <w:r>
              <w:rPr>
                <w:sz w:val="20"/>
                <w:szCs w:val="20"/>
              </w:rPr>
              <w:t xml:space="preserve">AI classification accuracy on varied document formats</w:t>
            </w:r>
          </w:p>
        </w:tc>
        <w:tc>
          <w:tcPr>
            <w:tcW w:type="dxa" w:w="6160"/>
            <w:tcMar>
              <w:top w:type="dxa" w:w="80"/>
              <w:left w:type="dxa" w:w="100"/>
              <w:bottom w:type="dxa" w:w="80"/>
              <w:right w:type="dxa" w:w="100"/>
            </w:tcMar>
          </w:tcPr>
          <w:p>
            <w:r>
              <w:rPr>
                <w:sz w:val="20"/>
                <w:szCs w:val="20"/>
              </w:rPr>
              <w:t xml:space="preserve">PDF and DOCX prioritized as fully robust; images/Excel best-effort; confidence scores and human approval step catch low-confidence cases.</w:t>
            </w:r>
          </w:p>
        </w:tc>
      </w:tr>
      <w:tr>
        <w:tc>
          <w:tcPr>
            <w:tcW w:type="dxa" w:w="3200"/>
            <w:shd w:fill="EAF1F8" w:color="auto" w:val="clear"/>
            <w:tcMar>
              <w:top w:type="dxa" w:w="80"/>
              <w:left w:type="dxa" w:w="100"/>
              <w:bottom w:type="dxa" w:w="80"/>
              <w:right w:type="dxa" w:w="100"/>
            </w:tcMar>
          </w:tcPr>
          <w:p>
            <w:r>
              <w:rPr>
                <w:sz w:val="20"/>
                <w:szCs w:val="20"/>
              </w:rPr>
              <w:t xml:space="preserve">Role/permission UI work consuming disproportionate time</w:t>
            </w:r>
          </w:p>
        </w:tc>
        <w:tc>
          <w:tcPr>
            <w:tcW w:type="dxa" w:w="6160"/>
            <w:shd w:fill="EAF1F8" w:color="auto" w:val="clear"/>
            <w:tcMar>
              <w:top w:type="dxa" w:w="80"/>
              <w:left w:type="dxa" w:w="100"/>
              <w:bottom w:type="dxa" w:w="80"/>
              <w:right w:type="dxa" w:w="100"/>
            </w:tcMar>
          </w:tcPr>
          <w:p>
            <w:r>
              <w:rPr>
                <w:sz w:val="20"/>
                <w:szCs w:val="20"/>
              </w:rPr>
              <w:t xml:space="preserve">Fallback plan: simplify Principal and Faculty to foundational-only if behind schedule by Day 5, preserving AI-engine build time.</w:t>
            </w:r>
          </w:p>
        </w:tc>
      </w:tr>
      <w:tr>
        <w:tc>
          <w:tcPr>
            <w:tcW w:type="dxa" w:w="3200"/>
            <w:tcMar>
              <w:top w:type="dxa" w:w="80"/>
              <w:left w:type="dxa" w:w="100"/>
              <w:bottom w:type="dxa" w:w="80"/>
              <w:right w:type="dxa" w:w="100"/>
            </w:tcMar>
          </w:tcPr>
          <w:p>
            <w:r>
              <w:rPr>
                <w:sz w:val="20"/>
                <w:szCs w:val="20"/>
              </w:rPr>
              <w:t xml:space="preserve">Scope creep during build</w:t>
            </w:r>
          </w:p>
        </w:tc>
        <w:tc>
          <w:tcPr>
            <w:tcW w:type="dxa" w:w="6160"/>
            <w:tcMar>
              <w:top w:type="dxa" w:w="80"/>
              <w:left w:type="dxa" w:w="100"/>
              <w:bottom w:type="dxa" w:w="80"/>
              <w:right w:type="dxa" w:w="100"/>
            </w:tcMar>
          </w:tcPr>
          <w:p>
            <w:r>
              <w:rPr>
                <w:sz w:val="20"/>
                <w:szCs w:val="20"/>
              </w:rPr>
              <w:t xml:space="preserve">This PRD and the accompanying Implementation Blueprint are the frozen source of truth for the remaining 9 days.</w:t>
            </w:r>
          </w:p>
        </w:tc>
      </w:tr>
    </w:tbl>
    <w:p>
      <w:pPr>
        <w:pStyle w:val="Heading1"/>
        <w:spacing w:after="160" w:before="360"/>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A5F" w:color="auto" w:val="clear"/>
            <w:tcMar>
              <w:top w:type="dxa" w:w="80"/>
              <w:left w:type="dxa" w:w="100"/>
              <w:bottom w:type="dxa" w:w="80"/>
              <w:right w:type="dxa" w:w="100"/>
            </w:tcMar>
          </w:tcPr>
          <w:p>
            <w:r>
              <w:rPr>
                <w:b/>
                <w:bCs/>
                <w:color w:val="FFFFFF"/>
                <w:sz w:val="20"/>
                <w:szCs w:val="20"/>
              </w:rPr>
              <w:t xml:space="preserve">Term</w:t>
            </w:r>
          </w:p>
        </w:tc>
        <w:tc>
          <w:tcPr>
            <w:tcW w:type="dxa" w:w="6560"/>
            <w:shd w:fill="1F3A5F" w:color="auto" w:val="clear"/>
            <w:tcMar>
              <w:top w:type="dxa" w:w="80"/>
              <w:left w:type="dxa" w:w="100"/>
              <w:bottom w:type="dxa" w:w="80"/>
              <w:right w:type="dxa" w:w="100"/>
            </w:tcMar>
          </w:tcPr>
          <w:p>
            <w:r>
              <w:rPr>
                <w:b/>
                <w:bCs/>
                <w:color w:val="FFFFFF"/>
                <w:sz w:val="20"/>
                <w:szCs w:val="20"/>
              </w:rPr>
              <w:t xml:space="preserve">Meaning</w:t>
            </w:r>
          </w:p>
        </w:tc>
      </w:tr>
      <w:tr>
        <w:tc>
          <w:tcPr>
            <w:tcW w:type="dxa" w:w="2800"/>
            <w:tcMar>
              <w:top w:type="dxa" w:w="80"/>
              <w:left w:type="dxa" w:w="100"/>
              <w:bottom w:type="dxa" w:w="80"/>
              <w:right w:type="dxa" w:w="100"/>
            </w:tcMar>
          </w:tcPr>
          <w:p>
            <w:r>
              <w:rPr>
                <w:sz w:val="20"/>
                <w:szCs w:val="20"/>
              </w:rPr>
              <w:t xml:space="preserve">NAAC</w:t>
            </w:r>
          </w:p>
        </w:tc>
        <w:tc>
          <w:tcPr>
            <w:tcW w:type="dxa" w:w="6560"/>
            <w:tcMar>
              <w:top w:type="dxa" w:w="80"/>
              <w:left w:type="dxa" w:w="100"/>
              <w:bottom w:type="dxa" w:w="80"/>
              <w:right w:type="dxa" w:w="100"/>
            </w:tcMar>
          </w:tcPr>
          <w:p>
            <w:r>
              <w:rPr>
                <w:sz w:val="20"/>
                <w:szCs w:val="20"/>
              </w:rPr>
              <w:t xml:space="preserve">National Assessment and Accreditation Council — the Indian body that accredits HEIs.</w:t>
            </w:r>
          </w:p>
        </w:tc>
      </w:tr>
      <w:tr>
        <w:tc>
          <w:tcPr>
            <w:tcW w:type="dxa" w:w="2800"/>
            <w:shd w:fill="EAF1F8" w:color="auto" w:val="clear"/>
            <w:tcMar>
              <w:top w:type="dxa" w:w="80"/>
              <w:left w:type="dxa" w:w="100"/>
              <w:bottom w:type="dxa" w:w="80"/>
              <w:right w:type="dxa" w:w="100"/>
            </w:tcMar>
          </w:tcPr>
          <w:p>
            <w:r>
              <w:rPr>
                <w:sz w:val="20"/>
                <w:szCs w:val="20"/>
              </w:rPr>
              <w:t xml:space="preserve">IQAC</w:t>
            </w:r>
          </w:p>
        </w:tc>
        <w:tc>
          <w:tcPr>
            <w:tcW w:type="dxa" w:w="6560"/>
            <w:shd w:fill="EAF1F8" w:color="auto" w:val="clear"/>
            <w:tcMar>
              <w:top w:type="dxa" w:w="80"/>
              <w:left w:type="dxa" w:w="100"/>
              <w:bottom w:type="dxa" w:w="80"/>
              <w:right w:type="dxa" w:w="100"/>
            </w:tcMar>
          </w:tcPr>
          <w:p>
            <w:r>
              <w:rPr>
                <w:sz w:val="20"/>
                <w:szCs w:val="20"/>
              </w:rPr>
              <w:t xml:space="preserve">Internal Quality Assurance Cell — the institutional unit responsible for accreditation readiness.</w:t>
            </w:r>
          </w:p>
        </w:tc>
      </w:tr>
      <w:tr>
        <w:tc>
          <w:tcPr>
            <w:tcW w:type="dxa" w:w="2800"/>
            <w:tcMar>
              <w:top w:type="dxa" w:w="80"/>
              <w:left w:type="dxa" w:w="100"/>
              <w:bottom w:type="dxa" w:w="80"/>
              <w:right w:type="dxa" w:w="100"/>
            </w:tcMar>
          </w:tcPr>
          <w:p>
            <w:r>
              <w:rPr>
                <w:sz w:val="20"/>
                <w:szCs w:val="20"/>
              </w:rPr>
              <w:t xml:space="preserve">AQAR</w:t>
            </w:r>
          </w:p>
        </w:tc>
        <w:tc>
          <w:tcPr>
            <w:tcW w:type="dxa" w:w="6560"/>
            <w:tcMar>
              <w:top w:type="dxa" w:w="80"/>
              <w:left w:type="dxa" w:w="100"/>
              <w:bottom w:type="dxa" w:w="80"/>
              <w:right w:type="dxa" w:w="100"/>
            </w:tcMar>
          </w:tcPr>
          <w:p>
            <w:r>
              <w:rPr>
                <w:sz w:val="20"/>
                <w:szCs w:val="20"/>
              </w:rPr>
              <w:t xml:space="preserve">Annual Quality Assurance Report — NAAC's yearly institutional report.</w:t>
            </w:r>
          </w:p>
        </w:tc>
      </w:tr>
      <w:tr>
        <w:tc>
          <w:tcPr>
            <w:tcW w:type="dxa" w:w="2800"/>
            <w:shd w:fill="EAF1F8" w:color="auto" w:val="clear"/>
            <w:tcMar>
              <w:top w:type="dxa" w:w="80"/>
              <w:left w:type="dxa" w:w="100"/>
              <w:bottom w:type="dxa" w:w="80"/>
              <w:right w:type="dxa" w:w="100"/>
            </w:tcMar>
          </w:tcPr>
          <w:p>
            <w:r>
              <w:rPr>
                <w:sz w:val="20"/>
                <w:szCs w:val="20"/>
              </w:rPr>
              <w:t xml:space="preserve">SSR</w:t>
            </w:r>
          </w:p>
        </w:tc>
        <w:tc>
          <w:tcPr>
            <w:tcW w:type="dxa" w:w="6560"/>
            <w:shd w:fill="EAF1F8" w:color="auto" w:val="clear"/>
            <w:tcMar>
              <w:top w:type="dxa" w:w="80"/>
              <w:left w:type="dxa" w:w="100"/>
              <w:bottom w:type="dxa" w:w="80"/>
              <w:right w:type="dxa" w:w="100"/>
            </w:tcMar>
          </w:tcPr>
          <w:p>
            <w:r>
              <w:rPr>
                <w:sz w:val="20"/>
                <w:szCs w:val="20"/>
              </w:rPr>
              <w:t xml:space="preserve">Self-Study Report — the core institutional submission for NAAC accreditation.</w:t>
            </w:r>
          </w:p>
        </w:tc>
      </w:tr>
      <w:tr>
        <w:tc>
          <w:tcPr>
            <w:tcW w:type="dxa" w:w="2800"/>
            <w:tcMar>
              <w:top w:type="dxa" w:w="80"/>
              <w:left w:type="dxa" w:w="100"/>
              <w:bottom w:type="dxa" w:w="80"/>
              <w:right w:type="dxa" w:w="100"/>
            </w:tcMar>
          </w:tcPr>
          <w:p>
            <w:r>
              <w:rPr>
                <w:sz w:val="20"/>
                <w:szCs w:val="20"/>
              </w:rPr>
              <w:t xml:space="preserve">Criterion / Key Indicator / Metric</w:t>
            </w:r>
          </w:p>
        </w:tc>
        <w:tc>
          <w:tcPr>
            <w:tcW w:type="dxa" w:w="6560"/>
            <w:tcMar>
              <w:top w:type="dxa" w:w="80"/>
              <w:left w:type="dxa" w:w="100"/>
              <w:bottom w:type="dxa" w:w="80"/>
              <w:right w:type="dxa" w:w="100"/>
            </w:tcMar>
          </w:tcPr>
          <w:p>
            <w:r>
              <w:rPr>
                <w:sz w:val="20"/>
                <w:szCs w:val="20"/>
              </w:rPr>
              <w:t xml:space="preserve">NAAC's three-level evaluation hierarchy (7 Criteria → Key Indicators → Metrics).</w:t>
            </w:r>
          </w:p>
        </w:tc>
      </w:tr>
      <w:tr>
        <w:tc>
          <w:tcPr>
            <w:tcW w:type="dxa" w:w="2800"/>
            <w:shd w:fill="EAF1F8" w:color="auto" w:val="clear"/>
            <w:tcMar>
              <w:top w:type="dxa" w:w="80"/>
              <w:left w:type="dxa" w:w="100"/>
              <w:bottom w:type="dxa" w:w="80"/>
              <w:right w:type="dxa" w:w="100"/>
            </w:tcMar>
          </w:tcPr>
          <w:p>
            <w:r>
              <w:rPr>
                <w:sz w:val="20"/>
                <w:szCs w:val="20"/>
              </w:rPr>
              <w:t xml:space="preserve">Readiness Score</w:t>
            </w:r>
          </w:p>
        </w:tc>
        <w:tc>
          <w:tcPr>
            <w:tcW w:type="dxa" w:w="6560"/>
            <w:shd w:fill="EAF1F8" w:color="auto" w:val="clear"/>
            <w:tcMar>
              <w:top w:type="dxa" w:w="80"/>
              <w:left w:type="dxa" w:w="100"/>
              <w:bottom w:type="dxa" w:w="80"/>
              <w:right w:type="dxa" w:w="100"/>
            </w:tcMar>
          </w:tcPr>
          <w:p>
            <w:r>
              <w:rPr>
                <w:sz w:val="20"/>
                <w:szCs w:val="20"/>
              </w:rPr>
              <w:t xml:space="preserve">AccrediAI's own explainable evidence-based preparedness measure — not an official NAAC grade.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2026-07-28T18:45:50.245Z</dcterms:created>
  <dcterms:modified xsi:type="dcterms:W3CDTF">2026-07-28T18:45:50.287Z</dcterms:modified>
</cp:coreProperties>
</file>

<file path=docProps/custom.xml><?xml version="1.0" encoding="utf-8"?>
<Properties xmlns="http://schemas.openxmlformats.org/officeDocument/2006/custom-properties" xmlns:vt="http://schemas.openxmlformats.org/officeDocument/2006/docPropsVTypes"/>
</file>