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A1108">
      <w:pPr>
        <w:rPr>
          <w:rFonts w:hint="default"/>
        </w:rPr>
      </w:pPr>
    </w:p>
    <w:p w14:paraId="5D36669C">
      <w:pPr>
        <w:rPr>
          <w:rFonts w:hint="default"/>
        </w:rPr>
      </w:pPr>
    </w:p>
    <w:p w14:paraId="5C9A36D2">
      <w:pPr>
        <w:rPr>
          <w:rFonts w:hint="default"/>
        </w:rPr>
      </w:pPr>
    </w:p>
    <w:p w14:paraId="7A43A6F5">
      <w:pPr>
        <w:rPr>
          <w:rFonts w:hint="default"/>
        </w:rPr>
      </w:pPr>
    </w:p>
    <w:p w14:paraId="5614C3B1">
      <w:pPr>
        <w:rPr>
          <w:rFonts w:hint="default"/>
        </w:rPr>
      </w:pPr>
    </w:p>
    <w:p w14:paraId="30163C7D">
      <w:pPr>
        <w:rPr>
          <w:rFonts w:hint="default"/>
        </w:rPr>
      </w:pPr>
    </w:p>
    <w:p w14:paraId="58EE58D3">
      <w:pPr>
        <w:rPr>
          <w:rFonts w:hint="default"/>
        </w:rPr>
      </w:pPr>
    </w:p>
    <w:p w14:paraId="3D16B498">
      <w:pPr>
        <w:rPr>
          <w:rFonts w:hint="default"/>
        </w:rPr>
      </w:pPr>
    </w:p>
    <w:p w14:paraId="5DCB223C">
      <w:pPr>
        <w:rPr>
          <w:rFonts w:hint="default"/>
        </w:rPr>
      </w:pPr>
    </w:p>
    <w:p w14:paraId="171CE04A">
      <w:pPr>
        <w:rPr>
          <w:rFonts w:hint="default"/>
        </w:rPr>
      </w:pPr>
    </w:p>
    <w:p w14:paraId="5F0247B4">
      <w:pPr>
        <w:rPr>
          <w:rFonts w:hint="default"/>
          <w:b/>
          <w:bCs/>
          <w:sz w:val="40"/>
          <w:szCs w:val="40"/>
        </w:rPr>
      </w:pPr>
    </w:p>
    <w:p w14:paraId="2D0FD271">
      <w:pPr>
        <w:rPr>
          <w:rFonts w:hint="default"/>
          <w:b/>
          <w:bCs/>
          <w:sz w:val="40"/>
          <w:szCs w:val="40"/>
        </w:rPr>
      </w:pPr>
    </w:p>
    <w:p w14:paraId="14B430AE">
      <w:pPr>
        <w:rPr>
          <w:rFonts w:hint="default"/>
          <w:b/>
          <w:bCs/>
          <w:sz w:val="40"/>
          <w:szCs w:val="40"/>
        </w:rPr>
      </w:pPr>
    </w:p>
    <w:p w14:paraId="44114658">
      <w:pPr>
        <w:rPr>
          <w:rFonts w:hint="default"/>
          <w:b/>
          <w:bCs/>
          <w:sz w:val="40"/>
          <w:szCs w:val="40"/>
        </w:rPr>
      </w:pPr>
    </w:p>
    <w:p w14:paraId="039D6CCD">
      <w:pPr>
        <w:ind w:firstLine="3413" w:firstLineChars="850"/>
        <w:rPr>
          <w:rFonts w:hint="default"/>
          <w:b/>
          <w:bCs/>
          <w:sz w:val="40"/>
          <w:szCs w:val="40"/>
        </w:rPr>
      </w:pPr>
      <w:r>
        <w:rPr>
          <w:rFonts w:hint="default"/>
          <w:b/>
          <w:bCs/>
          <w:sz w:val="40"/>
          <w:szCs w:val="40"/>
        </w:rPr>
        <w:t>Chapter 1 – Introduction</w:t>
      </w:r>
    </w:p>
    <w:p w14:paraId="53F80BC1">
      <w:pPr>
        <w:ind w:firstLine="8232" w:firstLineChars="2050"/>
        <w:rPr>
          <w:rFonts w:hint="default"/>
          <w:b/>
          <w:bCs/>
          <w:sz w:val="40"/>
          <w:szCs w:val="40"/>
        </w:rPr>
      </w:pPr>
    </w:p>
    <w:p w14:paraId="51CDCC3F">
      <w:pPr>
        <w:ind w:firstLine="8232" w:firstLineChars="2050"/>
        <w:rPr>
          <w:rFonts w:hint="default"/>
          <w:b/>
          <w:bCs/>
          <w:sz w:val="40"/>
          <w:szCs w:val="40"/>
        </w:rPr>
      </w:pPr>
    </w:p>
    <w:p w14:paraId="42BC20F7">
      <w:pPr>
        <w:ind w:firstLine="4100" w:firstLineChars="2050"/>
        <w:rPr>
          <w:rFonts w:hint="default"/>
        </w:rPr>
      </w:pPr>
    </w:p>
    <w:p w14:paraId="0EB03BCA">
      <w:pPr>
        <w:ind w:firstLine="4100" w:firstLineChars="2050"/>
        <w:rPr>
          <w:rFonts w:hint="default"/>
        </w:rPr>
      </w:pPr>
    </w:p>
    <w:p w14:paraId="097A2C3F">
      <w:pPr>
        <w:ind w:firstLine="4100" w:firstLineChars="2050"/>
        <w:rPr>
          <w:rFonts w:hint="default"/>
        </w:rPr>
      </w:pPr>
    </w:p>
    <w:p w14:paraId="25BDB67B">
      <w:pPr>
        <w:ind w:firstLine="4100" w:firstLineChars="2050"/>
        <w:rPr>
          <w:rFonts w:hint="default"/>
        </w:rPr>
      </w:pPr>
    </w:p>
    <w:p w14:paraId="1654C3FA">
      <w:pPr>
        <w:ind w:firstLine="4100" w:firstLineChars="2050"/>
        <w:rPr>
          <w:rFonts w:hint="default"/>
        </w:rPr>
      </w:pPr>
    </w:p>
    <w:p w14:paraId="208EED06">
      <w:pPr>
        <w:ind w:firstLine="4100" w:firstLineChars="2050"/>
        <w:rPr>
          <w:rFonts w:hint="default"/>
        </w:rPr>
      </w:pPr>
    </w:p>
    <w:p w14:paraId="166FD3FF">
      <w:pPr>
        <w:ind w:firstLine="4100" w:firstLineChars="2050"/>
        <w:rPr>
          <w:rFonts w:hint="default"/>
        </w:rPr>
      </w:pPr>
    </w:p>
    <w:p w14:paraId="61C4E99F">
      <w:pPr>
        <w:ind w:firstLine="4100" w:firstLineChars="2050"/>
        <w:rPr>
          <w:rFonts w:hint="default"/>
        </w:rPr>
      </w:pPr>
    </w:p>
    <w:p w14:paraId="5817C67F">
      <w:pPr>
        <w:ind w:firstLine="4100" w:firstLineChars="2050"/>
        <w:rPr>
          <w:rFonts w:hint="default"/>
        </w:rPr>
      </w:pPr>
    </w:p>
    <w:p w14:paraId="3CC55D14">
      <w:pPr>
        <w:ind w:firstLine="4100" w:firstLineChars="2050"/>
        <w:rPr>
          <w:rFonts w:hint="default"/>
        </w:rPr>
      </w:pPr>
    </w:p>
    <w:p w14:paraId="213C5585">
      <w:pPr>
        <w:ind w:firstLine="4100" w:firstLineChars="2050"/>
        <w:rPr>
          <w:rFonts w:hint="default"/>
        </w:rPr>
      </w:pPr>
    </w:p>
    <w:p w14:paraId="25A226B3">
      <w:pPr>
        <w:ind w:firstLine="4100" w:firstLineChars="2050"/>
        <w:rPr>
          <w:rFonts w:hint="default"/>
        </w:rPr>
      </w:pPr>
    </w:p>
    <w:p w14:paraId="70E5AA49">
      <w:pPr>
        <w:ind w:firstLine="4100" w:firstLineChars="2050"/>
        <w:rPr>
          <w:rFonts w:hint="default"/>
        </w:rPr>
      </w:pPr>
    </w:p>
    <w:p w14:paraId="01BE22DA">
      <w:pPr>
        <w:ind w:firstLine="4100" w:firstLineChars="2050"/>
        <w:rPr>
          <w:rFonts w:hint="default"/>
        </w:rPr>
      </w:pPr>
    </w:p>
    <w:p w14:paraId="1F4C369B">
      <w:pPr>
        <w:ind w:firstLine="4100" w:firstLineChars="2050"/>
        <w:rPr>
          <w:rFonts w:hint="default"/>
        </w:rPr>
      </w:pPr>
    </w:p>
    <w:p w14:paraId="3FB20EAB">
      <w:pPr>
        <w:ind w:firstLine="4100" w:firstLineChars="2050"/>
        <w:rPr>
          <w:rFonts w:hint="default"/>
        </w:rPr>
      </w:pPr>
    </w:p>
    <w:p w14:paraId="782F6176">
      <w:pPr>
        <w:ind w:firstLine="4100" w:firstLineChars="2050"/>
        <w:rPr>
          <w:rFonts w:hint="default"/>
        </w:rPr>
      </w:pPr>
    </w:p>
    <w:p w14:paraId="4F516C08">
      <w:pPr>
        <w:ind w:firstLine="4100" w:firstLineChars="2050"/>
        <w:rPr>
          <w:rFonts w:hint="default"/>
        </w:rPr>
      </w:pPr>
    </w:p>
    <w:p w14:paraId="33B3A7A1">
      <w:pPr>
        <w:ind w:firstLine="4100" w:firstLineChars="2050"/>
        <w:rPr>
          <w:rFonts w:hint="default"/>
        </w:rPr>
      </w:pPr>
    </w:p>
    <w:p w14:paraId="3AAF54AB">
      <w:pPr>
        <w:ind w:firstLine="4100" w:firstLineChars="2050"/>
        <w:rPr>
          <w:rFonts w:hint="default"/>
        </w:rPr>
      </w:pPr>
    </w:p>
    <w:p w14:paraId="48CF2D72">
      <w:pPr>
        <w:ind w:firstLine="4100" w:firstLineChars="2050"/>
        <w:rPr>
          <w:rFonts w:hint="default"/>
        </w:rPr>
      </w:pPr>
    </w:p>
    <w:p w14:paraId="37D94827">
      <w:pPr>
        <w:ind w:firstLine="4100" w:firstLineChars="2050"/>
        <w:rPr>
          <w:rFonts w:hint="default"/>
        </w:rPr>
      </w:pPr>
    </w:p>
    <w:p w14:paraId="4F64D766">
      <w:pPr>
        <w:ind w:firstLine="4100" w:firstLineChars="2050"/>
        <w:rPr>
          <w:rFonts w:hint="default"/>
        </w:rPr>
      </w:pPr>
    </w:p>
    <w:p w14:paraId="0194EB7F">
      <w:pPr>
        <w:ind w:firstLine="4100" w:firstLineChars="2050"/>
        <w:rPr>
          <w:rFonts w:hint="default"/>
        </w:rPr>
      </w:pPr>
    </w:p>
    <w:p w14:paraId="5D24FF5F">
      <w:pPr>
        <w:ind w:firstLine="4100" w:firstLineChars="2050"/>
        <w:rPr>
          <w:rFonts w:hint="default"/>
        </w:rPr>
      </w:pPr>
    </w:p>
    <w:p w14:paraId="6175CF5E">
      <w:pPr>
        <w:ind w:firstLine="4100" w:firstLineChars="2050"/>
        <w:rPr>
          <w:rFonts w:hint="default"/>
        </w:rPr>
      </w:pPr>
    </w:p>
    <w:p w14:paraId="58E0282F">
      <w:pPr>
        <w:ind w:firstLine="4100" w:firstLineChars="2050"/>
        <w:rPr>
          <w:rFonts w:hint="default"/>
        </w:rPr>
      </w:pPr>
    </w:p>
    <w:p w14:paraId="3DDC1092">
      <w:pPr>
        <w:ind w:firstLine="4100" w:firstLineChars="2050"/>
        <w:rPr>
          <w:rFonts w:hint="default"/>
        </w:rPr>
      </w:pPr>
    </w:p>
    <w:p w14:paraId="352C7B54">
      <w:pPr>
        <w:ind w:firstLine="4100" w:firstLineChars="2050"/>
        <w:rPr>
          <w:rFonts w:hint="default"/>
        </w:rPr>
      </w:pPr>
    </w:p>
    <w:p w14:paraId="64CDAC72">
      <w:pPr>
        <w:ind w:firstLine="4100" w:firstLineChars="2050"/>
        <w:rPr>
          <w:rFonts w:hint="default"/>
        </w:rPr>
      </w:pPr>
    </w:p>
    <w:p w14:paraId="4C0FC8A4">
      <w:pPr>
        <w:ind w:firstLine="4100" w:firstLineChars="2050"/>
        <w:rPr>
          <w:rFonts w:hint="default"/>
        </w:rPr>
      </w:pPr>
    </w:p>
    <w:p w14:paraId="146191A1">
      <w:pPr>
        <w:ind w:firstLine="4100" w:firstLineChars="2050"/>
        <w:rPr>
          <w:rFonts w:hint="default"/>
        </w:rPr>
      </w:pPr>
    </w:p>
    <w:p w14:paraId="5431CAFF">
      <w:pPr>
        <w:ind w:firstLine="4100" w:firstLineChars="2050"/>
        <w:rPr>
          <w:rFonts w:hint="default"/>
        </w:rPr>
      </w:pPr>
    </w:p>
    <w:p w14:paraId="1D6C3F9C">
      <w:pPr>
        <w:ind w:firstLine="4100" w:firstLineChars="2050"/>
        <w:rPr>
          <w:rFonts w:hint="default"/>
        </w:rPr>
      </w:pPr>
    </w:p>
    <w:p w14:paraId="63B7419F">
      <w:pPr>
        <w:ind w:firstLine="4100" w:firstLineChars="2050"/>
        <w:rPr>
          <w:rFonts w:hint="default"/>
        </w:rPr>
      </w:pPr>
    </w:p>
    <w:p w14:paraId="1BD64325">
      <w:pPr>
        <w:ind w:firstLine="4100" w:firstLineChars="2050"/>
        <w:rPr>
          <w:rFonts w:hint="default"/>
        </w:rPr>
      </w:pPr>
    </w:p>
    <w:p w14:paraId="5D791D51">
      <w:pPr>
        <w:ind w:firstLine="4100" w:firstLineChars="2050"/>
        <w:rPr>
          <w:rFonts w:hint="default"/>
        </w:rPr>
      </w:pPr>
    </w:p>
    <w:p w14:paraId="4CD140B5">
      <w:pPr>
        <w:ind w:firstLine="4100" w:firstLineChars="2050"/>
        <w:rPr>
          <w:rFonts w:hint="default"/>
        </w:rPr>
      </w:pPr>
    </w:p>
    <w:p w14:paraId="3ED6ADD4">
      <w:pPr>
        <w:ind w:firstLine="4100" w:firstLineChars="2050"/>
        <w:rPr>
          <w:rFonts w:hint="default"/>
        </w:rPr>
      </w:pPr>
    </w:p>
    <w:p w14:paraId="0A29DFC3">
      <w:pPr>
        <w:jc w:val="both"/>
        <w:rPr>
          <w:rFonts w:hint="default"/>
        </w:rPr>
      </w:pPr>
    </w:p>
    <w:p w14:paraId="5B8E7FF4">
      <w:pPr>
        <w:jc w:val="both"/>
        <w:rPr>
          <w:rFonts w:hint="default"/>
        </w:rPr>
      </w:pPr>
    </w:p>
    <w:p w14:paraId="3626660A">
      <w:pPr>
        <w:jc w:val="both"/>
        <w:rPr>
          <w:rFonts w:hint="default"/>
        </w:rPr>
      </w:pPr>
    </w:p>
    <w:p w14:paraId="2042B29F">
      <w:pPr>
        <w:numPr>
          <w:ilvl w:val="1"/>
          <w:numId w:val="1"/>
        </w:numPr>
        <w:rPr>
          <w:b/>
          <w:bCs/>
          <w:sz w:val="28"/>
          <w:szCs w:val="28"/>
        </w:rPr>
      </w:pPr>
      <w:r>
        <w:rPr>
          <w:b/>
          <w:bCs/>
          <w:sz w:val="28"/>
          <w:szCs w:val="28"/>
        </w:rPr>
        <w:t>Background</w:t>
      </w:r>
    </w:p>
    <w:p w14:paraId="2696926F">
      <w:pPr>
        <w:numPr>
          <w:numId w:val="0"/>
        </w:numPr>
        <w:ind w:leftChars="0"/>
      </w:pPr>
    </w:p>
    <w:p w14:paraId="0EB1FB3D">
      <w:r>
        <w:t>The rapid growth of digital technologies, internet-based services, cloud computing, online communication, and interconnected information systems has significantly increased the dependence of organizations and individuals on digital infrastructure. Along with these technological developments, the cybersecurity landscape has become increasingly complex. Cyber attackers continuously develop new techniques, tools, and strategies to exploit vulnerabilities in computer systems, networks, applications, and online services. As a result, organizations must continuously monitor, analyze, and respond to a large variety of cyber threats.</w:t>
      </w:r>
    </w:p>
    <w:p w14:paraId="294067A4"/>
    <w:p w14:paraId="29FFE1E8">
      <w:r>
        <w:t>Cyber threats can occur in different forms, including malware, phishing, ransomware, botnets, distributed denial-of-service (DDoS) attacks, and spam. These threats may target different components of an information system and can result in data loss, service disruption, financial damage, privacy violations, and compromise of critical resources. The continuous evolution of attack techniques makes it difficult for conventional security mechanisms to identify and understand every new threat pattern effectively.</w:t>
      </w:r>
    </w:p>
    <w:p w14:paraId="6B7BB9BF"/>
    <w:p w14:paraId="38BDE4B2">
      <w:r>
        <w:t>An important source of information for understanding such threats is Cyber Threat Intelligence (CTI). CTI involves collecting and analyzing threat-related information from different sources, including security reports, online forums, social media, blogs, news articles, incident analyses, and other publicly available sources. Such information can contain descriptions of attacks, threat actors, malicious activities, indicators of compromise, and emerging security trends. However, a significant portion of this information is available in unstructured or semi-structured textual form, making large-scale analysis difficult.</w:t>
      </w:r>
    </w:p>
    <w:p w14:paraId="7077276C">
      <w:r>
        <w:t>The increasing volume of cyber threat information creates a major challenge for security analysts. Manually examining and categorizing large numbers of threat reports requires considerable time and effort and may result in inconsistent analysis. Therefore, automated techniques are required to process threat-related information efficiently and identify meaningful patterns from large collections of CTI data.</w:t>
      </w:r>
    </w:p>
    <w:p w14:paraId="2D2BF72F"/>
    <w:p w14:paraId="5C3D75FF">
      <w:r>
        <w:t>Machine learning and natural language processing (NLP) provide promising approaches for automating the analysis of cyber threat information. Machine learning algorithms can learn patterns from previously classified threat data and classify new information into different threat categories. NLP techniques can transform unstructured textual threat information into suitable representations for computational analysis. The use of different text representations, such as Bag-of-Words, TF-IDF, and word embeddings, can further support automated cyber threat classification. The base research demonstrates the application of machine learning and deep learning models with multiple text representation techniques for binary and multiclass cyber threat classification.</w:t>
      </w:r>
    </w:p>
    <w:p w14:paraId="01B3CF5B"/>
    <w:p w14:paraId="23662AF3">
      <w:r>
        <w:t>However, classification alone is not sufficient for addressing the continuously changing cybersecurity environment. A system may successfully classify known threat information while still failing to recognize previously unseen or rapidly developing threat patterns. Consequently, identifying changes in threat-related topics over time is an important aspect of proactive cyber threat analysis.</w:t>
      </w:r>
    </w:p>
    <w:p w14:paraId="6C4C9D25"/>
    <w:p w14:paraId="1F86A4B8">
      <w:r>
        <w:t>Topic modeling provides a way to discover hidden themes within large collections of textual data. Techniques such as Latent Dirichlet Allocation (LDA) and Non-negative Matrix Factorization (NMF) can be used to identify and analyze topics within cyber threat information. When these topics are examined across different time periods, changes in their prevalence can provide indications of evolving or emerging threat patterns. The base paper applies LDA and NMF for temporal topic analysis and considers significant topic shifts as potential indicators of emerging threats.</w:t>
      </w:r>
    </w:p>
    <w:p w14:paraId="2540DB61"/>
    <w:p w14:paraId="61F88647">
      <w:r>
        <w:t>The integration of automated threat classification with temporal analysis can therefore provide a more comprehensive approach to Cyber Threat Intelligence. Such an approach can not only determine the category of an identified cyber threat but also analyze how threat-related topics change over time. This can assist in identifying potentially emerging threats at an earlier stage and provide useful information for cybersecurity monitoring and decision-making.</w:t>
      </w:r>
    </w:p>
    <w:p w14:paraId="032575DC"/>
    <w:p w14:paraId="7DFFF304">
      <w:r>
        <w:t>Based on this context, the present research focuses on developing a framework for Real-Time Cyber Threat Classification and Emerging Threat Detection Using Machine Learning and Temporal Topic Modeling</w:t>
      </w:r>
      <w:r>
        <w:t>. The research investigates machine learning and advanced text representation techniques for cyber threat classification and employs temporal topic modeling to study the evolution of cyber threat patterns. The overall objective is to combine classification and temporal threat analysis into an integrated framework capable of supporting the identification of both known and emerging cyber threats.</w:t>
      </w:r>
    </w:p>
    <w:p w14:paraId="19E8A678">
      <w:pPr>
        <w:ind w:firstLine="4100" w:firstLineChars="2050"/>
        <w:rPr>
          <w:rFonts w:hint="default"/>
        </w:rPr>
      </w:pPr>
    </w:p>
    <w:p w14:paraId="195EFF83">
      <w:pPr>
        <w:ind w:firstLine="4100" w:firstLineChars="2050"/>
        <w:rPr>
          <w:rFonts w:hint="default"/>
        </w:rPr>
      </w:pPr>
    </w:p>
    <w:p w14:paraId="4BFDB4DC">
      <w:pPr>
        <w:ind w:firstLine="4100" w:firstLineChars="2050"/>
        <w:rPr>
          <w:rFonts w:hint="default"/>
        </w:rPr>
      </w:pPr>
    </w:p>
    <w:p w14:paraId="06CB1CA7">
      <w:pPr>
        <w:ind w:firstLine="4100" w:firstLineChars="2050"/>
        <w:rPr>
          <w:rFonts w:hint="default"/>
        </w:rPr>
      </w:pPr>
    </w:p>
    <w:p w14:paraId="1C0C1FAC">
      <w:pPr>
        <w:ind w:firstLine="4100" w:firstLineChars="2050"/>
        <w:rPr>
          <w:rFonts w:hint="default"/>
        </w:rPr>
      </w:pPr>
    </w:p>
    <w:p w14:paraId="11B1F4FB">
      <w:pPr>
        <w:ind w:firstLine="4100" w:firstLineChars="2050"/>
        <w:rPr>
          <w:rFonts w:hint="default"/>
        </w:rPr>
      </w:pPr>
    </w:p>
    <w:p w14:paraId="6E72C414">
      <w:pPr>
        <w:ind w:firstLine="4100" w:firstLineChars="2050"/>
        <w:rPr>
          <w:rFonts w:hint="default"/>
        </w:rPr>
      </w:pPr>
    </w:p>
    <w:p w14:paraId="51FE02AA">
      <w:pPr>
        <w:ind w:firstLine="4100" w:firstLineChars="2050"/>
        <w:rPr>
          <w:rFonts w:hint="default"/>
        </w:rPr>
      </w:pPr>
    </w:p>
    <w:p w14:paraId="69DF713F">
      <w:pPr>
        <w:rPr>
          <w:rFonts w:hint="default"/>
          <w:b/>
          <w:bCs/>
          <w:sz w:val="24"/>
          <w:szCs w:val="24"/>
        </w:rPr>
      </w:pPr>
    </w:p>
    <w:p w14:paraId="4D6B1C81">
      <w:pPr>
        <w:numPr>
          <w:ilvl w:val="1"/>
          <w:numId w:val="1"/>
        </w:numPr>
        <w:ind w:left="0" w:leftChars="0" w:firstLine="0" w:firstLineChars="0"/>
        <w:rPr>
          <w:rFonts w:hint="default"/>
          <w:b/>
          <w:bCs/>
          <w:sz w:val="24"/>
          <w:szCs w:val="24"/>
        </w:rPr>
      </w:pPr>
      <w:r>
        <w:rPr>
          <w:b/>
          <w:bCs/>
          <w:sz w:val="24"/>
          <w:szCs w:val="24"/>
        </w:rPr>
        <w:t>Cyber Threat Intelligence</w:t>
      </w:r>
    </w:p>
    <w:p w14:paraId="4D483335">
      <w:pPr>
        <w:numPr>
          <w:numId w:val="0"/>
        </w:numPr>
        <w:rPr>
          <w:b/>
          <w:bCs/>
          <w:sz w:val="24"/>
          <w:szCs w:val="24"/>
        </w:rPr>
      </w:pPr>
    </w:p>
    <w:p w14:paraId="25820451">
      <w:pPr>
        <w:numPr>
          <w:numId w:val="0"/>
        </w:numPr>
        <w:rPr>
          <w:b/>
          <w:bCs/>
          <w:sz w:val="24"/>
          <w:szCs w:val="24"/>
        </w:rPr>
      </w:pPr>
    </w:p>
    <w:p w14:paraId="1B6C18C7">
      <w:pPr>
        <w:numPr>
          <w:ilvl w:val="2"/>
          <w:numId w:val="1"/>
        </w:numPr>
        <w:ind w:left="0" w:leftChars="0" w:firstLine="0" w:firstLineChars="0"/>
        <w:rPr>
          <w:b/>
          <w:bCs/>
          <w:sz w:val="24"/>
          <w:szCs w:val="24"/>
        </w:rPr>
      </w:pPr>
      <w:r>
        <w:rPr>
          <w:b/>
          <w:bCs/>
          <w:sz w:val="24"/>
          <w:szCs w:val="24"/>
        </w:rPr>
        <w:t>Definition of Cyber Threat Intelligence</w:t>
      </w:r>
    </w:p>
    <w:p w14:paraId="59DC704D">
      <w:pPr>
        <w:numPr>
          <w:numId w:val="0"/>
        </w:numPr>
        <w:ind w:leftChars="0"/>
      </w:pPr>
    </w:p>
    <w:p w14:paraId="0DCCCF13">
      <w:r>
        <w:t>Cyber Threat Intelligence (CTI) refers to the collection, processing, analysis, and interpretation of information related to cyber threats and malicious activities. The primary purpose of CTI is to transform raw security-related information into meaningful intelligence that can support the identification, understanding, monitoring, and response to cyber threats. In modern cybersecurity environments, CTI provides organizations with information that can assist in understanding existing threats as well as recognizing changes in the threat landscape.</w:t>
      </w:r>
    </w:p>
    <w:p w14:paraId="190AD806"/>
    <w:p w14:paraId="4BCFE85A">
      <w:r>
        <w:t>Cyber Threat Intelligence can be generated from multiple sources of threat-related information. These sources may include online forums, social media platforms, security blogs, news articles, incident reports, and other publicly available cyber-related information. Such sources can contain information about malicious activities, attack techniques, threat actors, vulnerabilities, indicators of compromise (IoCs), and other characteristics associated with cyber threats. The base paper emphasizes the importance of collecting threat intelligence from diverse online sources and analyzing this information to support automated cyber threat classification and emerging threat detection.</w:t>
      </w:r>
    </w:p>
    <w:p w14:paraId="1E04F91F"/>
    <w:p w14:paraId="26A0DDE6">
      <w:r>
        <w:t>A major characteristic of CTI is that the information is often unstructured or semi-structured. Threat reports and online discussions may contain large amounts of textual information that cannot be directly used by automated analytical systems. Therefore, CTI processing commonly involves data collection, preprocessing, feature extraction, classification, and analytical techniques to extract useful information from the collected data.</w:t>
      </w:r>
    </w:p>
    <w:p w14:paraId="46776A7A"/>
    <w:p w14:paraId="29C1EEEF">
      <w:r>
        <w:t>In the context of data science, CTI can be viewed as a data-driven analytical process in which cybersecurity information is transformed into actionable knowledge through techniques such as Natural Language Processing (NLP), machine learning, deep learning, and topic modeling. Machine learning models can be used to classify threat-related information into predefined categories, while NLP techniques can extract meaningful representations from textual CTI data. The base paper demonstrates this approach by applying multiple machine learning and deep learning algorithms to binary and multiclass cyber threat classification.</w:t>
      </w:r>
    </w:p>
    <w:p w14:paraId="7A204130"/>
    <w:p w14:paraId="4DF325BF">
      <w:r>
        <w:t>CTI is also important for identifying the evolution of cyber threats. Cybersecurity threats are not static; new attack techniques, malware variants, and threat patterns can emerge over time. Consequently, CTI analysis should not be limited to identifying known threat categories. Temporal analysis of threat-related information can help reveal changes in the prevalence and characteristics of different threat topics. In the base research, topic modeling techniques such as Latent Dirichlet Allocation (LDA) and Non-negative Matrix Factorization (NMF) are used to analyze threat-related topics and their changes over time.</w:t>
      </w:r>
    </w:p>
    <w:p w14:paraId="1EDA9F0E">
      <w:r>
        <w:t>Therefore, Cyber Threat Intelligence can be understood as a continuous process of collecting, processing, analyzing, and interpreting cyber threat information</w:t>
      </w:r>
      <w:r>
        <w:t xml:space="preserve"> to obtain useful knowledge about the cybersecurity threat landscape. In this research, CTI serves as the primary data source for automated cyber threat classification and temporal analysis. The proposed research further investigates how machine learning and temporal topic modeling can be combined to classify known cyber threats and identify potentially emerging threat patterns.</w:t>
      </w:r>
    </w:p>
    <w:p w14:paraId="2F57DBF6">
      <w:pPr>
        <w:rPr>
          <w:rFonts w:hint="default"/>
        </w:rPr>
      </w:pPr>
    </w:p>
    <w:p w14:paraId="4D0B01AC">
      <w:pPr>
        <w:ind w:firstLine="4100" w:firstLineChars="2050"/>
        <w:rPr>
          <w:rFonts w:hint="default"/>
        </w:rPr>
      </w:pPr>
    </w:p>
    <w:p w14:paraId="55A9857B">
      <w:pPr>
        <w:ind w:firstLine="4100" w:firstLineChars="2050"/>
        <w:rPr>
          <w:rFonts w:hint="default"/>
        </w:rPr>
      </w:pPr>
    </w:p>
    <w:p w14:paraId="0C3515AE">
      <w:pPr>
        <w:ind w:firstLine="4100" w:firstLineChars="2050"/>
        <w:rPr>
          <w:rFonts w:hint="default"/>
        </w:rPr>
      </w:pPr>
    </w:p>
    <w:p w14:paraId="3CC0276D">
      <w:pPr>
        <w:ind w:firstLine="4100" w:firstLineChars="2050"/>
        <w:rPr>
          <w:rFonts w:hint="default"/>
        </w:rPr>
      </w:pPr>
    </w:p>
    <w:p w14:paraId="71F6E58F">
      <w:pPr>
        <w:ind w:firstLine="4100" w:firstLineChars="2050"/>
        <w:rPr>
          <w:rFonts w:hint="default"/>
        </w:rPr>
      </w:pPr>
    </w:p>
    <w:p w14:paraId="109CD7D0">
      <w:pPr>
        <w:ind w:firstLine="4100" w:firstLineChars="2050"/>
        <w:rPr>
          <w:rFonts w:hint="default"/>
        </w:rPr>
      </w:pPr>
    </w:p>
    <w:p w14:paraId="25F7422A">
      <w:pPr>
        <w:ind w:firstLine="4100" w:firstLineChars="2050"/>
        <w:rPr>
          <w:rFonts w:hint="default"/>
        </w:rPr>
      </w:pPr>
    </w:p>
    <w:p w14:paraId="1F54E7DB">
      <w:pPr>
        <w:ind w:firstLine="4100" w:firstLineChars="2050"/>
        <w:rPr>
          <w:rFonts w:hint="default"/>
        </w:rPr>
      </w:pPr>
    </w:p>
    <w:p w14:paraId="272C3018">
      <w:pPr>
        <w:ind w:firstLine="4100" w:firstLineChars="2050"/>
        <w:rPr>
          <w:rFonts w:hint="default"/>
        </w:rPr>
      </w:pPr>
    </w:p>
    <w:p w14:paraId="4ECE88A7">
      <w:pPr>
        <w:ind w:firstLine="4100" w:firstLineChars="2050"/>
        <w:rPr>
          <w:rFonts w:hint="default"/>
        </w:rPr>
      </w:pPr>
    </w:p>
    <w:p w14:paraId="11A285E2">
      <w:pPr>
        <w:ind w:firstLine="4100" w:firstLineChars="2050"/>
        <w:rPr>
          <w:rFonts w:hint="default"/>
        </w:rPr>
      </w:pPr>
    </w:p>
    <w:p w14:paraId="73CB3CFC">
      <w:pPr>
        <w:ind w:firstLine="4100" w:firstLineChars="2050"/>
        <w:rPr>
          <w:rFonts w:hint="default"/>
        </w:rPr>
      </w:pPr>
    </w:p>
    <w:p w14:paraId="393D8BDB">
      <w:pPr>
        <w:ind w:firstLine="4100" w:firstLineChars="2050"/>
        <w:rPr>
          <w:rFonts w:hint="default"/>
        </w:rPr>
      </w:pPr>
    </w:p>
    <w:p w14:paraId="20B6D953">
      <w:pPr>
        <w:ind w:firstLine="4100" w:firstLineChars="2050"/>
        <w:rPr>
          <w:rFonts w:hint="default"/>
        </w:rPr>
      </w:pPr>
    </w:p>
    <w:p w14:paraId="1672DAAD">
      <w:pPr>
        <w:ind w:firstLine="4100" w:firstLineChars="2050"/>
        <w:rPr>
          <w:rFonts w:hint="default"/>
        </w:rPr>
      </w:pPr>
    </w:p>
    <w:p w14:paraId="3B8D2F31">
      <w:pPr>
        <w:ind w:firstLine="4100" w:firstLineChars="2050"/>
        <w:rPr>
          <w:rFonts w:hint="default"/>
        </w:rPr>
      </w:pPr>
    </w:p>
    <w:p w14:paraId="6D17532B">
      <w:pPr>
        <w:ind w:firstLine="4100" w:firstLineChars="2050"/>
        <w:rPr>
          <w:rFonts w:hint="default"/>
        </w:rPr>
      </w:pPr>
    </w:p>
    <w:p w14:paraId="27280E1D">
      <w:pPr>
        <w:ind w:firstLine="4100" w:firstLineChars="2050"/>
        <w:rPr>
          <w:rFonts w:hint="default"/>
        </w:rPr>
      </w:pPr>
    </w:p>
    <w:p w14:paraId="466A643C">
      <w:pPr>
        <w:numPr>
          <w:ilvl w:val="2"/>
          <w:numId w:val="1"/>
        </w:numPr>
        <w:ind w:left="0" w:leftChars="0" w:firstLine="0" w:firstLineChars="0"/>
        <w:rPr>
          <w:b/>
          <w:bCs/>
          <w:sz w:val="28"/>
          <w:szCs w:val="28"/>
        </w:rPr>
      </w:pPr>
      <w:r>
        <w:rPr>
          <w:b/>
          <w:bCs/>
          <w:sz w:val="28"/>
          <w:szCs w:val="28"/>
        </w:rPr>
        <w:t>Types of Cyber Threat Intelligence</w:t>
      </w:r>
    </w:p>
    <w:p w14:paraId="758D3484">
      <w:pPr>
        <w:numPr>
          <w:numId w:val="0"/>
        </w:numPr>
        <w:ind w:leftChars="0"/>
      </w:pPr>
    </w:p>
    <w:p w14:paraId="2780890E">
      <w:r>
        <w:t>Cyber Threat Intelligence can be categorized according to the purpose, level of detail, intended users, and time horizon of the information being analyzed. Different types of CTI provide different perspectives on the cyber threat landscape, ranging from high-level information used for strategic decision-making to detailed technical information used for detecting and responding to specific attacks. The major types of Cyber Threat Intelligence are Strategic Intelligence, Operational Intelligence, Tactical Intelligence, and Technical Intelligence</w:t>
      </w:r>
      <w:r>
        <w:t>.</w:t>
      </w:r>
    </w:p>
    <w:p w14:paraId="2290690D"/>
    <w:p w14:paraId="5F243FA0">
      <w:pPr>
        <w:numPr>
          <w:ilvl w:val="3"/>
          <w:numId w:val="1"/>
        </w:numPr>
        <w:ind w:left="0" w:leftChars="0" w:firstLine="0" w:firstLineChars="0"/>
        <w:rPr>
          <w:b/>
          <w:bCs/>
          <w:sz w:val="32"/>
          <w:szCs w:val="32"/>
        </w:rPr>
      </w:pPr>
      <w:r>
        <w:rPr>
          <w:b/>
          <w:bCs/>
          <w:sz w:val="32"/>
          <w:szCs w:val="32"/>
        </w:rPr>
        <w:t>Strategic Cyber Threat Intelligence</w:t>
      </w:r>
    </w:p>
    <w:p w14:paraId="70BD8301">
      <w:pPr>
        <w:numPr>
          <w:numId w:val="0"/>
        </w:numPr>
        <w:ind w:leftChars="0"/>
      </w:pPr>
    </w:p>
    <w:p w14:paraId="32A319B8">
      <w:r>
        <w:t>Strategic Cyber Threat Intelligence provides a high-level view of the cyber threat landscape and is primarily intended for senior management, organizational leaders, and decision-makers. It focuses on long-term trends, major threat actors, potential risks, attack campaigns, and their possible impact on an organization or sector.</w:t>
      </w:r>
    </w:p>
    <w:p w14:paraId="4A788531">
      <w:r>
        <w:t>Strategic intelligence generally does not focus on individual technical indicators. Instead, it helps organizations understand how the threat environment is changing and supports decisions related to cybersecurity investment, risk management, security policies, and resource allocation.</w:t>
      </w:r>
    </w:p>
    <w:p w14:paraId="3D2FDD30">
      <w:r>
        <w:t>For example, an organization may analyze intelligence indicating that ransomware attacks against its industry are increasing. Such information can influence decisions regarding backup strategies, security investments, employee awareness programs, and incident-response planning.</w:t>
      </w:r>
    </w:p>
    <w:p w14:paraId="5BF753A1">
      <w:pPr>
        <w:rPr>
          <w:b/>
          <w:bCs/>
          <w:sz w:val="28"/>
          <w:szCs w:val="28"/>
        </w:rPr>
      </w:pPr>
    </w:p>
    <w:p w14:paraId="7EEFF2C6">
      <w:pPr>
        <w:numPr>
          <w:ilvl w:val="3"/>
          <w:numId w:val="1"/>
        </w:numPr>
        <w:ind w:left="0" w:leftChars="0" w:firstLine="0" w:firstLineChars="0"/>
        <w:rPr>
          <w:b/>
          <w:bCs/>
          <w:sz w:val="28"/>
          <w:szCs w:val="28"/>
        </w:rPr>
      </w:pPr>
      <w:r>
        <w:rPr>
          <w:b/>
          <w:bCs/>
          <w:sz w:val="28"/>
          <w:szCs w:val="28"/>
        </w:rPr>
        <w:t>Operational Cyber Threat Intelligence</w:t>
      </w:r>
    </w:p>
    <w:p w14:paraId="3628CB3D">
      <w:pPr>
        <w:numPr>
          <w:numId w:val="0"/>
        </w:numPr>
        <w:ind w:leftChars="0"/>
      </w:pPr>
    </w:p>
    <w:p w14:paraId="4778332B">
      <w:r>
        <w:t>Operational Cyber Threat Intelligence focuses on information about specific cyber attacks, campaigns, and threat activities. It provides information that can help security teams understand who may conduct an attack, why the attack may occur, and how the attack may be carried out</w:t>
      </w:r>
      <w:r>
        <w:t>.</w:t>
      </w:r>
    </w:p>
    <w:p w14:paraId="5538FF4F"/>
    <w:p w14:paraId="6A443BED">
      <w:r>
        <w:t>Operational intelligence can include information about threat actors, attack campaigns, motivations, targeted organizations, and attack timelines. It is particularly useful for security teams responsible for monitoring threats and preparing appropriate responses.</w:t>
      </w:r>
    </w:p>
    <w:p w14:paraId="2538A8EB"/>
    <w:p w14:paraId="6D6C8467">
      <w:r>
        <w:t>For example, information about an ongoing phishing campaign targeting financial institutions can help an organization understand the characteristics and objectives of the campaign and prepare suitable defensive measures.</w:t>
      </w:r>
    </w:p>
    <w:p w14:paraId="2AAA96F2">
      <w:pPr>
        <w:rPr>
          <w:b/>
          <w:bCs/>
          <w:sz w:val="32"/>
          <w:szCs w:val="32"/>
        </w:rPr>
      </w:pPr>
    </w:p>
    <w:p w14:paraId="073483FB">
      <w:pPr>
        <w:numPr>
          <w:ilvl w:val="3"/>
          <w:numId w:val="1"/>
        </w:numPr>
        <w:ind w:left="0" w:leftChars="0" w:firstLine="0" w:firstLineChars="0"/>
        <w:rPr>
          <w:b/>
          <w:bCs/>
          <w:sz w:val="32"/>
          <w:szCs w:val="32"/>
        </w:rPr>
      </w:pPr>
      <w:r>
        <w:rPr>
          <w:b/>
          <w:bCs/>
          <w:sz w:val="32"/>
          <w:szCs w:val="32"/>
        </w:rPr>
        <w:t>Tactical Cyber Threat Intelligence</w:t>
      </w:r>
    </w:p>
    <w:p w14:paraId="56A137E6">
      <w:pPr>
        <w:numPr>
          <w:numId w:val="0"/>
        </w:numPr>
        <w:ind w:leftChars="0"/>
      </w:pPr>
    </w:p>
    <w:p w14:paraId="1F6167EE">
      <w:r>
        <w:t>Tactical Cyber Threat Intelligence describes the tactics, techniques, and procedures (TTPs)</w:t>
      </w:r>
      <w:r>
        <w:t xml:space="preserve"> used by threat actors. It helps cybersecurity professionals understand how attackers operate and how specific attack techniques can be identified or mitigated.</w:t>
      </w:r>
    </w:p>
    <w:p w14:paraId="264EF9B5">
      <w:r>
        <w:t>Tactical intelligence may describe techniques such as phishing, credential theft, lateral movement, command and control, privilege escalation, or other attack behaviors. This information can be used by security teams to improve detection rules, security controls, monitoring strategies, and defensive procedures.</w:t>
      </w:r>
    </w:p>
    <w:p w14:paraId="7DEBA5BF">
      <w:r>
        <w:t>Tactical CTI is particularly useful for understanding changes in attacker behavior because threat actors may modify their techniques to bypass existing security mechanisms.</w:t>
      </w:r>
    </w:p>
    <w:p w14:paraId="1068C7B8"/>
    <w:p w14:paraId="4D3E2326">
      <w:pPr>
        <w:numPr>
          <w:ilvl w:val="3"/>
          <w:numId w:val="1"/>
        </w:numPr>
        <w:ind w:left="0" w:leftChars="0" w:firstLine="0" w:firstLineChars="0"/>
        <w:rPr>
          <w:b/>
          <w:bCs/>
          <w:sz w:val="32"/>
          <w:szCs w:val="32"/>
        </w:rPr>
      </w:pPr>
      <w:r>
        <w:rPr>
          <w:b/>
          <w:bCs/>
          <w:sz w:val="32"/>
          <w:szCs w:val="32"/>
        </w:rPr>
        <w:t>Technical Cyber Threat Intelligence</w:t>
      </w:r>
    </w:p>
    <w:p w14:paraId="5A350C50">
      <w:pPr>
        <w:numPr>
          <w:numId w:val="0"/>
        </w:numPr>
        <w:ind w:leftChars="0"/>
      </w:pPr>
    </w:p>
    <w:p w14:paraId="0AE48D55">
      <w:r>
        <w:t>Technical Cyber Threat Intelligence contains detailed and actionable technical information associated with specific malicious activities. It commonly includes Indicators of Compromise (IoCs)</w:t>
      </w:r>
      <w:r>
        <w:t xml:space="preserve"> such as malicious IP addresses, domains, URLs, file hashes, email addresses, and other technical artifacts.</w:t>
      </w:r>
    </w:p>
    <w:p w14:paraId="394FB089">
      <w:r>
        <w:t>Technical intelligence is mainly used by security tools and operational security teams for detecting and investigating malicious activities. For example, a security system can use a list of known malicious IP addresses or file hashes to identify potentially compromised systems.</w:t>
      </w:r>
    </w:p>
    <w:p w14:paraId="5FFC335D"/>
    <w:p w14:paraId="08E99907">
      <w:r>
        <w:t>In the base research, the collected CTI information is processed to identify indicators such as domains, email addresses, IP addresses, and URLs using pattern-based extraction techniques.</w:t>
      </w:r>
    </w:p>
    <w:p w14:paraId="602A7BB3">
      <w:r>
        <w:t>Relationship Between Different Types of CTI</w:t>
      </w:r>
    </w:p>
    <w:p w14:paraId="60E62E13"/>
    <w:p w14:paraId="0A4D3BC9">
      <w:r>
        <w:t>Although the four types of CTI have different purposes, they are complementary rather than independent. Information can move from detailed technical observations toward higher-level intelligence and can also flow in the opposite direction when strategic decisions require more detailed technical investigation.</w:t>
      </w:r>
    </w:p>
    <w:p w14:paraId="3AADD1CE"/>
    <w:tbl>
      <w:tblPr>
        <w:tblW w:w="4999"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1"/>
        <w:gridCol w:w="2568"/>
        <w:gridCol w:w="2879"/>
        <w:gridCol w:w="3966"/>
      </w:tblGrid>
      <w:tr w14:paraId="4E5F5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544" w:type="pct"/>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09CFDBC4">
            <w:pPr>
              <w:snapToGrid w:val="0"/>
              <w:ind w:left="0" w:leftChars="0" w:right="0" w:rightChars="0" w:firstLine="0" w:firstLineChars="0"/>
              <w:jc w:val="center"/>
              <w:rPr>
                <w:b/>
                <w:color w:val="000000"/>
              </w:rPr>
            </w:pPr>
            <w:r>
              <w:rPr>
                <w:b/>
                <w:color w:val="000000"/>
                <w:lang w:val="en-US" w:eastAsia="zh-CN"/>
              </w:rPr>
              <w:t>CTI Type</w:t>
            </w:r>
          </w:p>
        </w:tc>
        <w:tc>
          <w:tcPr>
            <w:tcW w:w="1195" w:type="pct"/>
            <w:tcBorders>
              <w:top w:val="single" w:color="000000" w:sz="12" w:space="0"/>
              <w:left w:val="single" w:color="000000" w:sz="4" w:space="0"/>
              <w:bottom w:val="single" w:color="000000" w:sz="4" w:space="0"/>
              <w:right w:val="single" w:color="000000" w:sz="4" w:space="0"/>
            </w:tcBorders>
            <w:shd w:val="clear" w:color="auto" w:fill="FFFFFF"/>
            <w:vAlign w:val="center"/>
          </w:tcPr>
          <w:p w14:paraId="602A685E">
            <w:pPr>
              <w:snapToGrid w:val="0"/>
              <w:ind w:left="0" w:leftChars="0" w:right="0" w:rightChars="0" w:firstLine="0" w:firstLineChars="0"/>
              <w:jc w:val="center"/>
              <w:rPr>
                <w:b/>
                <w:color w:val="000000"/>
              </w:rPr>
            </w:pPr>
            <w:r>
              <w:rPr>
                <w:b/>
                <w:color w:val="000000"/>
                <w:lang w:val="en-US" w:eastAsia="zh-CN"/>
              </w:rPr>
              <w:t>Primary Focus</w:t>
            </w:r>
          </w:p>
        </w:tc>
        <w:tc>
          <w:tcPr>
            <w:tcW w:w="1341" w:type="pct"/>
            <w:tcBorders>
              <w:top w:val="single" w:color="000000" w:sz="12" w:space="0"/>
              <w:left w:val="single" w:color="000000" w:sz="4" w:space="0"/>
              <w:bottom w:val="single" w:color="000000" w:sz="4" w:space="0"/>
              <w:right w:val="single" w:color="000000" w:sz="4" w:space="0"/>
            </w:tcBorders>
            <w:shd w:val="clear" w:color="auto" w:fill="FFFFFF"/>
            <w:vAlign w:val="center"/>
          </w:tcPr>
          <w:p w14:paraId="15BDEE37">
            <w:pPr>
              <w:snapToGrid w:val="0"/>
              <w:ind w:left="0" w:leftChars="0" w:right="0" w:rightChars="0" w:firstLine="0" w:firstLineChars="0"/>
              <w:jc w:val="center"/>
              <w:rPr>
                <w:b/>
                <w:color w:val="000000"/>
              </w:rPr>
            </w:pPr>
            <w:r>
              <w:rPr>
                <w:b/>
                <w:color w:val="000000"/>
                <w:lang w:val="en-US" w:eastAsia="zh-CN"/>
              </w:rPr>
              <w:t>Typical Users</w:t>
            </w:r>
          </w:p>
        </w:tc>
        <w:tc>
          <w:tcPr>
            <w:tcW w:w="1846" w:type="pct"/>
            <w:tcBorders>
              <w:top w:val="single" w:color="000000" w:sz="12" w:space="0"/>
              <w:left w:val="single" w:color="000000" w:sz="4" w:space="0"/>
              <w:bottom w:val="single" w:color="000000" w:sz="4" w:space="0"/>
              <w:right w:val="single" w:color="000000" w:sz="12" w:space="0"/>
            </w:tcBorders>
            <w:shd w:val="clear" w:color="auto" w:fill="FFFFFF"/>
            <w:vAlign w:val="center"/>
          </w:tcPr>
          <w:p w14:paraId="72084671">
            <w:pPr>
              <w:snapToGrid w:val="0"/>
              <w:ind w:left="0" w:leftChars="0" w:right="0" w:rightChars="0" w:firstLine="0" w:firstLineChars="0"/>
              <w:jc w:val="center"/>
              <w:rPr>
                <w:b/>
                <w:color w:val="000000"/>
              </w:rPr>
            </w:pPr>
            <w:r>
              <w:rPr>
                <w:b/>
                <w:color w:val="000000"/>
                <w:lang w:val="en-US" w:eastAsia="zh-CN"/>
              </w:rPr>
              <w:t>Main Purpose</w:t>
            </w:r>
          </w:p>
        </w:tc>
      </w:tr>
      <w:tr w14:paraId="2BB25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544" w:type="pct"/>
            <w:tcBorders>
              <w:top w:val="single" w:color="000000" w:sz="4" w:space="0"/>
              <w:left w:val="single" w:color="000000" w:sz="12" w:space="0"/>
              <w:bottom w:val="single" w:color="000000" w:sz="4" w:space="0"/>
              <w:right w:val="single" w:color="000000" w:sz="4" w:space="0"/>
            </w:tcBorders>
            <w:shd w:val="clear" w:color="auto" w:fill="FFFFFF"/>
            <w:vAlign w:val="center"/>
          </w:tcPr>
          <w:p w14:paraId="20A4A73C">
            <w:pPr>
              <w:snapToGrid w:val="0"/>
              <w:ind w:left="0" w:leftChars="0" w:right="0" w:rightChars="0" w:firstLine="0" w:firstLineChars="0"/>
              <w:jc w:val="center"/>
              <w:rPr>
                <w:b w:val="0"/>
                <w:color w:val="000000"/>
              </w:rPr>
            </w:pPr>
            <w:r>
              <w:rPr>
                <w:b w:val="0"/>
                <w:color w:val="000000"/>
                <w:lang w:val="en-US" w:eastAsia="zh-CN"/>
              </w:rPr>
              <w:t>Strategic</w:t>
            </w:r>
          </w:p>
        </w:tc>
        <w:tc>
          <w:tcPr>
            <w:tcW w:w="11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6C4525">
            <w:pPr>
              <w:snapToGrid w:val="0"/>
              <w:ind w:left="0" w:leftChars="0" w:right="0" w:rightChars="0" w:firstLine="0" w:firstLineChars="0"/>
              <w:jc w:val="center"/>
              <w:rPr>
                <w:b w:val="0"/>
                <w:color w:val="000000"/>
              </w:rPr>
            </w:pPr>
            <w:r>
              <w:rPr>
                <w:b w:val="0"/>
                <w:color w:val="000000"/>
                <w:lang w:val="en-US" w:eastAsia="zh-CN"/>
              </w:rPr>
              <w:t>Long-term threats and risks</w:t>
            </w:r>
          </w:p>
        </w:tc>
        <w:tc>
          <w:tcPr>
            <w:tcW w:w="13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643B09">
            <w:pPr>
              <w:snapToGrid w:val="0"/>
              <w:ind w:left="0" w:leftChars="0" w:right="0" w:rightChars="0" w:firstLine="0" w:firstLineChars="0"/>
              <w:jc w:val="center"/>
              <w:rPr>
                <w:b w:val="0"/>
                <w:color w:val="000000"/>
              </w:rPr>
            </w:pPr>
            <w:r>
              <w:rPr>
                <w:b w:val="0"/>
                <w:color w:val="000000"/>
                <w:lang w:val="en-US" w:eastAsia="zh-CN"/>
              </w:rPr>
              <w:t>Management, decision-makers</w:t>
            </w:r>
          </w:p>
        </w:tc>
        <w:tc>
          <w:tcPr>
            <w:tcW w:w="1846" w:type="pct"/>
            <w:tcBorders>
              <w:top w:val="single" w:color="000000" w:sz="4" w:space="0"/>
              <w:left w:val="single" w:color="000000" w:sz="4" w:space="0"/>
              <w:bottom w:val="single" w:color="000000" w:sz="4" w:space="0"/>
              <w:right w:val="single" w:color="000000" w:sz="12" w:space="0"/>
            </w:tcBorders>
            <w:shd w:val="clear" w:color="auto" w:fill="FFFFFF"/>
            <w:vAlign w:val="center"/>
          </w:tcPr>
          <w:p w14:paraId="560332F3">
            <w:pPr>
              <w:snapToGrid w:val="0"/>
              <w:ind w:left="0" w:leftChars="0" w:right="0" w:rightChars="0" w:firstLine="0" w:firstLineChars="0"/>
              <w:jc w:val="center"/>
              <w:rPr>
                <w:b w:val="0"/>
                <w:color w:val="000000"/>
              </w:rPr>
            </w:pPr>
            <w:r>
              <w:rPr>
                <w:b w:val="0"/>
                <w:color w:val="000000"/>
                <w:lang w:val="en-US" w:eastAsia="zh-CN"/>
              </w:rPr>
              <w:t>Strategic planning and risk management</w:t>
            </w:r>
          </w:p>
        </w:tc>
      </w:tr>
      <w:tr w14:paraId="313CC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544" w:type="pct"/>
            <w:tcBorders>
              <w:top w:val="single" w:color="000000" w:sz="4" w:space="0"/>
              <w:left w:val="single" w:color="000000" w:sz="12" w:space="0"/>
              <w:bottom w:val="single" w:color="000000" w:sz="4" w:space="0"/>
              <w:right w:val="single" w:color="000000" w:sz="4" w:space="0"/>
            </w:tcBorders>
            <w:shd w:val="clear" w:color="auto" w:fill="FFFFFF"/>
            <w:vAlign w:val="center"/>
          </w:tcPr>
          <w:p w14:paraId="11F40AF7">
            <w:pPr>
              <w:snapToGrid w:val="0"/>
              <w:ind w:left="0" w:leftChars="0" w:right="0" w:rightChars="0" w:firstLine="0" w:firstLineChars="0"/>
              <w:jc w:val="center"/>
              <w:rPr>
                <w:b w:val="0"/>
                <w:color w:val="000000"/>
              </w:rPr>
            </w:pPr>
            <w:r>
              <w:rPr>
                <w:b w:val="0"/>
                <w:color w:val="000000"/>
                <w:lang w:val="en-US" w:eastAsia="zh-CN"/>
              </w:rPr>
              <w:t>Operational</w:t>
            </w:r>
          </w:p>
        </w:tc>
        <w:tc>
          <w:tcPr>
            <w:tcW w:w="11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C06F21">
            <w:pPr>
              <w:snapToGrid w:val="0"/>
              <w:ind w:left="0" w:leftChars="0" w:right="0" w:rightChars="0" w:firstLine="0" w:firstLineChars="0"/>
              <w:jc w:val="center"/>
              <w:rPr>
                <w:b w:val="0"/>
                <w:color w:val="000000"/>
              </w:rPr>
            </w:pPr>
            <w:r>
              <w:rPr>
                <w:b w:val="0"/>
                <w:color w:val="000000"/>
                <w:lang w:val="en-US" w:eastAsia="zh-CN"/>
              </w:rPr>
              <w:t>Attacks and campaigns</w:t>
            </w:r>
          </w:p>
        </w:tc>
        <w:tc>
          <w:tcPr>
            <w:tcW w:w="13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CBA35B">
            <w:pPr>
              <w:snapToGrid w:val="0"/>
              <w:ind w:left="0" w:leftChars="0" w:right="0" w:rightChars="0" w:firstLine="0" w:firstLineChars="0"/>
              <w:jc w:val="center"/>
              <w:rPr>
                <w:b w:val="0"/>
                <w:color w:val="000000"/>
              </w:rPr>
            </w:pPr>
            <w:r>
              <w:rPr>
                <w:b w:val="0"/>
                <w:color w:val="000000"/>
                <w:lang w:val="en-US" w:eastAsia="zh-CN"/>
              </w:rPr>
              <w:t>Security teams, threat analysts</w:t>
            </w:r>
          </w:p>
        </w:tc>
        <w:tc>
          <w:tcPr>
            <w:tcW w:w="1846" w:type="pct"/>
            <w:tcBorders>
              <w:top w:val="single" w:color="000000" w:sz="4" w:space="0"/>
              <w:left w:val="single" w:color="000000" w:sz="4" w:space="0"/>
              <w:bottom w:val="single" w:color="000000" w:sz="4" w:space="0"/>
              <w:right w:val="single" w:color="000000" w:sz="12" w:space="0"/>
            </w:tcBorders>
            <w:shd w:val="clear" w:color="auto" w:fill="FFFFFF"/>
            <w:vAlign w:val="center"/>
          </w:tcPr>
          <w:p w14:paraId="481F5B83">
            <w:pPr>
              <w:snapToGrid w:val="0"/>
              <w:ind w:left="0" w:leftChars="0" w:right="0" w:rightChars="0" w:firstLine="0" w:firstLineChars="0"/>
              <w:jc w:val="center"/>
              <w:rPr>
                <w:b w:val="0"/>
                <w:color w:val="000000"/>
              </w:rPr>
            </w:pPr>
            <w:r>
              <w:rPr>
                <w:b w:val="0"/>
                <w:color w:val="000000"/>
                <w:lang w:val="en-US" w:eastAsia="zh-CN"/>
              </w:rPr>
              <w:t>Understanding ongoing or planned attacks</w:t>
            </w:r>
          </w:p>
        </w:tc>
      </w:tr>
      <w:tr w14:paraId="41A52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544" w:type="pct"/>
            <w:tcBorders>
              <w:top w:val="single" w:color="000000" w:sz="4" w:space="0"/>
              <w:left w:val="single" w:color="000000" w:sz="12" w:space="0"/>
              <w:bottom w:val="single" w:color="000000" w:sz="4" w:space="0"/>
              <w:right w:val="single" w:color="000000" w:sz="4" w:space="0"/>
            </w:tcBorders>
            <w:shd w:val="clear" w:color="auto" w:fill="FFFFFF"/>
            <w:vAlign w:val="center"/>
          </w:tcPr>
          <w:p w14:paraId="3EC1CAFC">
            <w:pPr>
              <w:snapToGrid w:val="0"/>
              <w:ind w:left="0" w:leftChars="0" w:right="0" w:rightChars="0" w:firstLine="0" w:firstLineChars="0"/>
              <w:jc w:val="center"/>
              <w:rPr>
                <w:b w:val="0"/>
                <w:color w:val="000000"/>
              </w:rPr>
            </w:pPr>
            <w:r>
              <w:rPr>
                <w:b w:val="0"/>
                <w:color w:val="000000"/>
                <w:lang w:val="en-US" w:eastAsia="zh-CN"/>
              </w:rPr>
              <w:t>Tactical</w:t>
            </w:r>
          </w:p>
        </w:tc>
        <w:tc>
          <w:tcPr>
            <w:tcW w:w="11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3F310E">
            <w:pPr>
              <w:snapToGrid w:val="0"/>
              <w:ind w:left="0" w:leftChars="0" w:right="0" w:rightChars="0" w:firstLine="0" w:firstLineChars="0"/>
              <w:jc w:val="center"/>
              <w:rPr>
                <w:b w:val="0"/>
                <w:color w:val="000000"/>
              </w:rPr>
            </w:pPr>
            <w:r>
              <w:rPr>
                <w:b w:val="0"/>
                <w:color w:val="000000"/>
                <w:lang w:val="en-US" w:eastAsia="zh-CN"/>
              </w:rPr>
              <w:t>Attacker TTPs</w:t>
            </w:r>
          </w:p>
        </w:tc>
        <w:tc>
          <w:tcPr>
            <w:tcW w:w="134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79C9BC">
            <w:pPr>
              <w:snapToGrid w:val="0"/>
              <w:ind w:left="0" w:leftChars="0" w:right="0" w:rightChars="0" w:firstLine="0" w:firstLineChars="0"/>
              <w:jc w:val="center"/>
              <w:rPr>
                <w:b w:val="0"/>
                <w:color w:val="000000"/>
              </w:rPr>
            </w:pPr>
            <w:r>
              <w:rPr>
                <w:b w:val="0"/>
                <w:color w:val="000000"/>
                <w:lang w:val="en-US" w:eastAsia="zh-CN"/>
              </w:rPr>
              <w:t>Security professionals</w:t>
            </w:r>
          </w:p>
        </w:tc>
        <w:tc>
          <w:tcPr>
            <w:tcW w:w="1846" w:type="pct"/>
            <w:tcBorders>
              <w:top w:val="single" w:color="000000" w:sz="4" w:space="0"/>
              <w:left w:val="single" w:color="000000" w:sz="4" w:space="0"/>
              <w:bottom w:val="single" w:color="000000" w:sz="4" w:space="0"/>
              <w:right w:val="single" w:color="000000" w:sz="12" w:space="0"/>
            </w:tcBorders>
            <w:shd w:val="clear" w:color="auto" w:fill="FFFFFF"/>
            <w:vAlign w:val="center"/>
          </w:tcPr>
          <w:p w14:paraId="40EFB30E">
            <w:pPr>
              <w:snapToGrid w:val="0"/>
              <w:ind w:left="0" w:leftChars="0" w:right="0" w:rightChars="0" w:firstLine="0" w:firstLineChars="0"/>
              <w:jc w:val="center"/>
              <w:rPr>
                <w:b w:val="0"/>
                <w:color w:val="000000"/>
              </w:rPr>
            </w:pPr>
            <w:r>
              <w:rPr>
                <w:b w:val="0"/>
                <w:color w:val="000000"/>
                <w:lang w:val="en-US" w:eastAsia="zh-CN"/>
              </w:rPr>
              <w:t>Improving defensive capabilities</w:t>
            </w:r>
          </w:p>
        </w:tc>
      </w:tr>
      <w:tr w14:paraId="6430A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544" w:type="pct"/>
            <w:tcBorders>
              <w:top w:val="single" w:color="000000" w:sz="4" w:space="0"/>
              <w:left w:val="single" w:color="000000" w:sz="12" w:space="0"/>
              <w:bottom w:val="single" w:color="000000" w:sz="12" w:space="0"/>
              <w:right w:val="single" w:color="000000" w:sz="4" w:space="0"/>
            </w:tcBorders>
            <w:shd w:val="clear" w:color="auto" w:fill="FFFFFF"/>
            <w:vAlign w:val="center"/>
          </w:tcPr>
          <w:p w14:paraId="64CDD688">
            <w:pPr>
              <w:snapToGrid w:val="0"/>
              <w:ind w:left="0" w:leftChars="0" w:right="0" w:rightChars="0" w:firstLine="0" w:firstLineChars="0"/>
              <w:jc w:val="center"/>
              <w:rPr>
                <w:b w:val="0"/>
                <w:color w:val="000000"/>
              </w:rPr>
            </w:pPr>
            <w:r>
              <w:rPr>
                <w:b w:val="0"/>
                <w:color w:val="000000"/>
                <w:lang w:val="en-US" w:eastAsia="zh-CN"/>
              </w:rPr>
              <w:t>Technical</w:t>
            </w:r>
          </w:p>
        </w:tc>
        <w:tc>
          <w:tcPr>
            <w:tcW w:w="1195" w:type="pct"/>
            <w:tcBorders>
              <w:top w:val="single" w:color="000000" w:sz="4" w:space="0"/>
              <w:left w:val="single" w:color="000000" w:sz="4" w:space="0"/>
              <w:bottom w:val="single" w:color="000000" w:sz="12" w:space="0"/>
              <w:right w:val="single" w:color="000000" w:sz="4" w:space="0"/>
            </w:tcBorders>
            <w:shd w:val="clear" w:color="auto" w:fill="FFFFFF"/>
            <w:vAlign w:val="center"/>
          </w:tcPr>
          <w:p w14:paraId="5DEE6DA5">
            <w:pPr>
              <w:snapToGrid w:val="0"/>
              <w:ind w:left="0" w:leftChars="0" w:right="0" w:rightChars="0" w:firstLine="0" w:firstLineChars="0"/>
              <w:jc w:val="center"/>
              <w:rPr>
                <w:b w:val="0"/>
                <w:color w:val="000000"/>
              </w:rPr>
            </w:pPr>
            <w:r>
              <w:rPr>
                <w:b w:val="0"/>
                <w:color w:val="000000"/>
                <w:lang w:val="en-US" w:eastAsia="zh-CN"/>
              </w:rPr>
              <w:t>IoCs and technical artifacts</w:t>
            </w:r>
          </w:p>
        </w:tc>
        <w:tc>
          <w:tcPr>
            <w:tcW w:w="1341" w:type="pct"/>
            <w:tcBorders>
              <w:top w:val="single" w:color="000000" w:sz="4" w:space="0"/>
              <w:left w:val="single" w:color="000000" w:sz="4" w:space="0"/>
              <w:bottom w:val="single" w:color="000000" w:sz="12" w:space="0"/>
              <w:right w:val="single" w:color="000000" w:sz="4" w:space="0"/>
            </w:tcBorders>
            <w:shd w:val="clear" w:color="auto" w:fill="FFFFFF"/>
            <w:vAlign w:val="center"/>
          </w:tcPr>
          <w:p w14:paraId="2458FB87">
            <w:pPr>
              <w:snapToGrid w:val="0"/>
              <w:ind w:left="0" w:leftChars="0" w:right="0" w:rightChars="0" w:firstLine="0" w:firstLineChars="0"/>
              <w:jc w:val="center"/>
              <w:rPr>
                <w:b w:val="0"/>
                <w:color w:val="000000"/>
              </w:rPr>
            </w:pPr>
            <w:r>
              <w:rPr>
                <w:b w:val="0"/>
                <w:color w:val="000000"/>
                <w:lang w:val="en-US" w:eastAsia="zh-CN"/>
              </w:rPr>
              <w:t>SOC analysts, security tools</w:t>
            </w:r>
          </w:p>
        </w:tc>
        <w:tc>
          <w:tcPr>
            <w:tcW w:w="1846" w:type="pct"/>
            <w:tcBorders>
              <w:top w:val="single" w:color="000000" w:sz="4" w:space="0"/>
              <w:left w:val="single" w:color="000000" w:sz="4" w:space="0"/>
              <w:bottom w:val="single" w:color="000000" w:sz="12" w:space="0"/>
              <w:right w:val="single" w:color="000000" w:sz="12" w:space="0"/>
            </w:tcBorders>
            <w:shd w:val="clear" w:color="auto" w:fill="FFFFFF"/>
            <w:vAlign w:val="center"/>
          </w:tcPr>
          <w:p w14:paraId="1F6BD003">
            <w:pPr>
              <w:snapToGrid w:val="0"/>
              <w:ind w:left="0" w:leftChars="0" w:right="0" w:rightChars="0" w:firstLine="0" w:firstLineChars="0"/>
              <w:jc w:val="center"/>
              <w:rPr>
                <w:b w:val="0"/>
                <w:color w:val="000000"/>
              </w:rPr>
            </w:pPr>
            <w:r>
              <w:rPr>
                <w:b w:val="0"/>
                <w:color w:val="000000"/>
                <w:lang w:val="en-US" w:eastAsia="zh-CN"/>
              </w:rPr>
              <w:t>Detection and incident investigation</w:t>
            </w:r>
          </w:p>
        </w:tc>
      </w:tr>
    </w:tbl>
    <w:p w14:paraId="679D9A18"/>
    <w:p w14:paraId="525A87A1">
      <w:r>
        <w:t>In the context of the proposed research, these different levels of intelligence provide complementary information for understanding the cyber threat environment. The research primarily focuses on textual CTI data</w:t>
      </w:r>
      <w:r>
        <w:t>, where threat reports and related information can be processed using Natural Language Processing and machine learning techniques. Threat-related text can first be classified into predefined threat categories and can subsequently be analyzed over time to identify changes in threat-related topics.</w:t>
      </w:r>
    </w:p>
    <w:p w14:paraId="3E80A59C">
      <w:r>
        <w:t>Thus, understanding the different types of Cyber Threat Intelligence provides the foundation for developing an automated framework capable of processing threat information, classifying cyber threats, and identifying potentially emerging threat patterns.</w:t>
      </w:r>
    </w:p>
    <w:p w14:paraId="0E666AE1">
      <w:pPr>
        <w:rPr>
          <w:rFonts w:hint="default"/>
          <w:lang w:val="en-US"/>
        </w:rPr>
      </w:pPr>
    </w:p>
    <w:p w14:paraId="20744EBD">
      <w:pPr>
        <w:ind w:firstLine="4100" w:firstLineChars="2050"/>
        <w:rPr>
          <w:rFonts w:hint="default"/>
        </w:rPr>
      </w:pPr>
      <w:bookmarkStart w:id="0" w:name="_GoBack"/>
      <w:bookmarkEnd w:id="0"/>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0BB463"/>
    <w:multiLevelType w:val="multilevel"/>
    <w:tmpl w:val="9C0BB46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DF0DE1"/>
    <w:rsid w:val="778C193E"/>
    <w:rsid w:val="7E0176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2026-09-11T08:40:32Z</dcterms:created>
  <dc:creator>srgi</dc:creator>
  <cp:lastModifiedBy>Sachin Chakrawarti</cp:lastModifiedBy>
  <dcterms:modified xsi:type="dcterms:W3CDTF">2026-09-11T08:52:53Z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eyJoZGlkIjoiYWZiNTY3Njk5MzIxMjBjZjFkN2QxYzZmYjQ3ZTFkMDQiLCJ1c2VySWQiOiI1NDk3NTg0ODk2NDkifQ==</vt:lpwstr>
  </property>
  <property fmtid="{D5CDD505-2E9C-101B-9397-08002B2CF9AE}" pid="4" name="ICV">
    <vt:lpwstr>A3E666EB0A9F45A1AB557896DD35F04A_12</vt:lpwstr>
  </property>
</Properties>
</file>