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5276"/>
          <w:sz w:val="40"/>
          <w:szCs w:val="40"/>
        </w:rPr>
        <w:t xml:space="preserve">IND SUSAR XML Gap Analysis</w:t>
      </w:r>
    </w:p>
    <w:p>
      <w:pPr>
        <w:spacing w:after="40" w:before="0"/>
      </w:pPr>
      <w:r>
        <w:rPr>
          <w:rFonts w:ascii="Arial" w:cs="Arial" w:eastAsia="Arial" w:hAnsi="Arial"/>
          <w:color w:val="34495E"/>
          <w:sz w:val="26"/>
          <w:szCs w:val="26"/>
        </w:rPr>
        <w:t xml:space="preserve">Code Fix Specification for XML Generator</w:t>
      </w:r>
    </w:p>
    <w:p>
      <w:pPr>
        <w:spacing w:after="240" w:before="0"/>
      </w:pPr>
      <w:r>
        <w:rPr>
          <w:rFonts w:ascii="Arial" w:cs="Arial" w:eastAsia="Arial" w:hAnsi="Arial"/>
          <w:color w:val="888888"/>
          <w:sz w:val="18"/>
          <w:szCs w:val="18"/>
        </w:rPr>
        <w:t xml:space="preserve">DeepQuence PV Workflow  |  Pre-submission review  |  April 24, 2026</w:t>
      </w:r>
    </w:p>
    <w:p>
      <w:pPr>
        <w:pBdr>
          <w:bottom w:val="single" w:color="BDC3C7" w:sz="4" w:space="1"/>
        </w:pBdr>
        <w:spacing w:after="120" w:before="120"/>
      </w:pPr>
      <w:r>
        <w:t xml:space="preserve"/>
      </w:r>
    </w:p>
    <w:p>
      <w:pPr>
        <w:pStyle w:val="Heading1"/>
        <w:spacing w:after="120" w:before="360"/>
      </w:pPr>
      <w:r>
        <w:rPr>
          <w:rFonts w:ascii="Arial" w:cs="Arial" w:eastAsia="Arial" w:hAnsi="Arial"/>
          <w:b/>
          <w:bCs/>
          <w:color w:val="1A5276"/>
          <w:sz w:val="28"/>
          <w:szCs w:val="28"/>
        </w:rPr>
        <w:t xml:space="preserve">1. Purpose</w:t>
      </w:r>
    </w:p>
    <w:p>
      <w:pPr>
        <w:spacing w:after="60" w:before="60"/>
      </w:pPr>
      <w:r>
        <w:rPr>
          <w:rFonts w:ascii="Arial" w:cs="Arial" w:eastAsia="Arial" w:hAnsi="Arial"/>
          <w:sz w:val="20"/>
          <w:szCs w:val="20"/>
        </w:rPr>
        <w:t xml:space="preserve">This document identifies defects found during pre-submission review of three app-generated IND SUSAR XML packages (IND-T01, IND-T02, IND-T05) intended for the FDA AEMS ESG NextGen premarket test gateway. It is written for the engineering team responsible for the XML generation module and provides exact element paths, wrong values, required values, and a rationale for each fix.</w:t>
      </w:r>
    </w:p>
    <w:p>
      <w:pPr>
        <w:spacing w:after="60" w:before="60"/>
      </w:pPr>
      <w:r>
        <w:rPr>
          <w:rFonts w:ascii="Arial" w:cs="Arial" w:eastAsia="Arial" w:hAnsi="Arial"/>
          <w:sz w:val="20"/>
          <w:szCs w:val="20"/>
        </w:rPr>
        <w:t xml:space="preserve">Two issues are BLOCKING — the submissions cannot be accepted by the FDA gateway in their current state. They must be fixed before submitting.</w:t>
      </w:r>
    </w:p>
    <w:p>
      <w:pPr>
        <w:spacing w:after="100" w:before="100"/>
      </w:pPr>
      <w:r>
        <w:t xml:space="preserve"/>
      </w:r>
    </w:p>
    <w:p>
      <w:pPr>
        <w:pStyle w:val="Heading1"/>
        <w:spacing w:after="120" w:before="360"/>
      </w:pPr>
      <w:r>
        <w:rPr>
          <w:rFonts w:ascii="Arial" w:cs="Arial" w:eastAsia="Arial" w:hAnsi="Arial"/>
          <w:b/>
          <w:bCs/>
          <w:color w:val="1A5276"/>
          <w:sz w:val="28"/>
          <w:szCs w:val="28"/>
        </w:rPr>
        <w:t xml:space="preserve">2. Files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18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536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20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IND-T01-susar-baseline.xml</w:t>
            </w:r>
          </w:p>
        </w:tc>
        <w:tc>
          <w:tcPr>
            <w:tcW w:type="dxa" w:w="180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SUSAR (Initial)</w:t>
            </w:r>
          </w:p>
        </w:tc>
        <w:tc>
          <w:tcPr>
            <w:tcW w:type="dxa" w:w="536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Baseline IND safety report — Male, 55y, hospitalization (hepatic enzyme)</w:t>
            </w:r>
          </w:p>
        </w:tc>
      </w:tr>
      <w:tr>
        <w:tc>
          <w:tcPr>
            <w:tcW w:type="dxa" w:w="22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IND-T02-susar-repeat.xml</w:t>
            </w:r>
          </w:p>
        </w:tc>
        <w:tc>
          <w:tcPr>
            <w:tcW w:type="dxa" w:w="18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SUSAR (Initial)</w:t>
            </w:r>
          </w:p>
        </w:tc>
        <w:tc>
          <w:tcPr>
            <w:tcW w:type="dxa" w:w="536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Second case, independent patient — Female, 53y, 70 kg (confirms isolation from T01)</w:t>
            </w:r>
          </w:p>
        </w:tc>
      </w:tr>
      <w:tr>
        <w:tc>
          <w:tcPr>
            <w:tcW w:type="dxa" w:w="220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IND-T05-fatal-seven-day.xml</w:t>
            </w:r>
          </w:p>
        </w:tc>
        <w:tc>
          <w:tcPr>
            <w:tcW w:type="dxa" w:w="180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SUSAR (Fatal, 7-Day)</w:t>
            </w:r>
          </w:p>
        </w:tc>
        <w:tc>
          <w:tcPr>
            <w:tcW w:type="dxa" w:w="536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Fatal outcome, 7-day expedited report — resultsInDeath=true, outcome code=5</w:t>
            </w:r>
          </w:p>
        </w:tc>
      </w:tr>
    </w:tbl>
    <w:p>
      <w:pPr>
        <w:spacing w:after="100" w:before="100"/>
      </w:pPr>
      <w:r>
        <w:t xml:space="preserve"/>
      </w:r>
    </w:p>
    <w:p>
      <w:pPr>
        <w:pStyle w:val="Heading1"/>
        <w:spacing w:after="120" w:before="360"/>
      </w:pPr>
      <w:r>
        <w:rPr>
          <w:rFonts w:ascii="Arial" w:cs="Arial" w:eastAsia="Arial" w:hAnsi="Arial"/>
          <w:b/>
          <w:bCs/>
          <w:color w:val="1A5276"/>
          <w:sz w:val="28"/>
          <w:szCs w:val="28"/>
        </w:rPr>
        <w:t xml:space="preserve">3. Issue Summary</w:t>
      </w:r>
    </w:p>
    <w:p>
      <w:pPr>
        <w:spacing w:after="60" w:before="60"/>
      </w:pPr>
      <w:r>
        <w:rPr>
          <w:rFonts w:ascii="Arial" w:cs="Arial" w:eastAsia="Arial" w:hAnsi="Arial"/>
          <w:sz w:val="20"/>
          <w:szCs w:val="20"/>
        </w:rPr>
        <w:t xml:space="preserve">All issues and their presence across files:</w:t>
      </w:r>
    </w:p>
    <w:p>
      <w:pPr>
        <w:spacing w:after="100" w:before="100"/>
      </w:pPr>
      <w:r>
        <w:t xml:space="preserve"/>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1500"/>
        <w:gridCol w:w="680"/>
      </w:tblGrid>
      <w:tr>
        <w:tc>
          <w:tcPr>
            <w:tcW w:type="dxa" w:w="42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Issue</w:t>
            </w:r>
          </w:p>
        </w:tc>
        <w:tc>
          <w:tcPr>
            <w:tcW w:type="dxa" w:w="15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IND-T01</w:t>
            </w:r>
          </w:p>
        </w:tc>
        <w:tc>
          <w:tcPr>
            <w:tcW w:type="dxa" w:w="15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IND-T02</w:t>
            </w:r>
          </w:p>
        </w:tc>
        <w:tc>
          <w:tcPr>
            <w:tcW w:type="dxa" w:w="15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IND-T05</w:t>
            </w:r>
          </w:p>
        </w:tc>
        <w:tc>
          <w:tcPr>
            <w:tcW w:type="dxa" w:w="68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Sev.</w:t>
            </w:r>
          </w:p>
        </w:tc>
      </w:tr>
      <w:tr>
        <w:tc>
          <w:tcPr>
            <w:tcW w:type="dxa" w:w="42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Batch receiver ZZFDATST_PREMKT → ZZFDA_PREMKT</w:t>
            </w:r>
          </w:p>
        </w:tc>
        <w:tc>
          <w:tcPr>
            <w:tcW w:type="dxa" w:w="15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5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5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68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BLOCK</w:t>
            </w:r>
          </w:p>
        </w:tc>
      </w:tr>
      <w:tr>
        <w:tc>
          <w:tcPr>
            <w:tcW w:type="dxa" w:w="42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Version extension="3" → "2" (initial report)</w:t>
            </w:r>
          </w:p>
        </w:tc>
        <w:tc>
          <w:tcPr>
            <w:tcW w:type="dxa" w:w="15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5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5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68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BLOCK</w:t>
            </w:r>
          </w:p>
        </w:tc>
      </w:tr>
      <w:tr>
        <w:tc>
          <w:tcPr>
            <w:tcW w:type="dxa" w:w="42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Sender missing OID .3.12 extension="1" ID</w:t>
            </w:r>
          </w:p>
        </w:tc>
        <w:tc>
          <w:tcPr>
            <w:tcW w:type="dxa" w:w="15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5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5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68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LOW</w:t>
            </w:r>
          </w:p>
        </w:tc>
      </w:tr>
      <w:tr>
        <w:tc>
          <w:tcPr>
            <w:tcW w:type="dxa" w:w="42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7-Day report type code="7" is UNTESTED</w:t>
            </w:r>
          </w:p>
        </w:tc>
        <w:tc>
          <w:tcPr>
            <w:tcW w:type="dxa" w:w="15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w:t>
            </w:r>
          </w:p>
        </w:tc>
        <w:tc>
          <w:tcPr>
            <w:tcW w:type="dxa" w:w="15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w:t>
            </w:r>
          </w:p>
        </w:tc>
        <w:tc>
          <w:tcPr>
            <w:tcW w:type="dxa" w:w="15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68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INFO</w:t>
            </w:r>
          </w:p>
        </w:tc>
      </w:tr>
      <w:tr>
        <w:tc>
          <w:tcPr>
            <w:tcW w:type="dxa" w:w="42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Race/ethnicity codes untested on PREMKT gateway</w:t>
            </w:r>
          </w:p>
        </w:tc>
        <w:tc>
          <w:tcPr>
            <w:tcW w:type="dxa" w:w="15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w:t>
            </w:r>
          </w:p>
        </w:tc>
        <w:tc>
          <w:tcPr>
            <w:tcW w:type="dxa" w:w="15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w:t>
            </w:r>
          </w:p>
        </w:tc>
        <w:tc>
          <w:tcPr>
            <w:tcW w:type="dxa" w:w="15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w:t>
            </w:r>
          </w:p>
        </w:tc>
        <w:tc>
          <w:tcPr>
            <w:tcW w:type="dxa" w:w="68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center"/>
            </w:pPr>
            <w:r>
              <w:rPr>
                <w:rFonts w:ascii="Arial" w:cs="Arial" w:eastAsia="Arial" w:hAnsi="Arial"/>
                <w:b/>
                <w:bCs/>
                <w:color w:val="666666"/>
                <w:sz w:val="18"/>
                <w:szCs w:val="18"/>
              </w:rPr>
              <w:t xml:space="preserve">INFO</w:t>
            </w:r>
          </w:p>
        </w:tc>
      </w:tr>
    </w:tbl>
    <w:p>
      <w:pPr>
        <w:spacing w:after="100" w:before="100"/>
      </w:pPr>
      <w:r>
        <w:t xml:space="preserve"/>
      </w:r>
    </w:p>
    <w:p>
      <w:pPr>
        <w:spacing w:after="60" w:before="60"/>
      </w:pPr>
      <w:r>
        <w:rPr>
          <w:rFonts w:ascii="Arial" w:cs="Arial" w:eastAsia="Arial" w:hAnsi="Arial"/>
          <w:b/>
          <w:bCs/>
          <w:sz w:val="20"/>
          <w:szCs w:val="20"/>
        </w:rPr>
        <w:t xml:space="preserve">Legend:</w:t>
      </w:r>
    </w:p>
    <w:p>
      <w:pPr>
        <w:pStyle w:val="ListParagraph"/>
        <w:numPr>
          <w:ilvl w:val="0"/>
          <w:numId w:val="2"/>
        </w:numPr>
        <w:spacing w:after="40" w:before="40"/>
      </w:pPr>
      <w:r>
        <w:rPr>
          <w:rFonts w:ascii="Arial" w:cs="Arial" w:eastAsia="Arial" w:hAnsi="Arial"/>
          <w:sz w:val="20"/>
          <w:szCs w:val="20"/>
        </w:rPr>
        <w:t xml:space="preserve">✗  = issue present in this file</w:t>
      </w:r>
    </w:p>
    <w:p>
      <w:pPr>
        <w:pStyle w:val="ListParagraph"/>
        <w:numPr>
          <w:ilvl w:val="0"/>
          <w:numId w:val="2"/>
        </w:numPr>
        <w:spacing w:after="40" w:before="40"/>
      </w:pPr>
      <w:r>
        <w:rPr>
          <w:rFonts w:ascii="Arial" w:cs="Arial" w:eastAsia="Arial" w:hAnsi="Arial"/>
          <w:sz w:val="20"/>
          <w:szCs w:val="20"/>
        </w:rPr>
        <w:t xml:space="preserve">–  = not applicable to this file</w:t>
      </w:r>
    </w:p>
    <w:p>
      <w:pPr>
        <w:pStyle w:val="ListParagraph"/>
        <w:numPr>
          <w:ilvl w:val="0"/>
          <w:numId w:val="2"/>
        </w:numPr>
        <w:spacing w:after="40" w:before="40"/>
      </w:pPr>
      <w:r>
        <w:rPr>
          <w:rFonts w:ascii="Arial" w:cs="Arial" w:eastAsia="Arial" w:hAnsi="Arial"/>
          <w:sz w:val="20"/>
          <w:szCs w:val="20"/>
        </w:rPr>
        <w:t xml:space="preserve">?  = unconfirmed (behavior not yet proven on PREMKT gateway)</w:t>
      </w:r>
    </w:p>
    <w:p>
      <w:pPr>
        <w:pStyle w:val="ListParagraph"/>
        <w:numPr>
          <w:ilvl w:val="0"/>
          <w:numId w:val="2"/>
        </w:numPr>
        <w:spacing w:after="40" w:before="40"/>
      </w:pPr>
      <w:r>
        <w:rPr>
          <w:rFonts w:ascii="Arial" w:cs="Arial" w:eastAsia="Arial" w:hAnsi="Arial"/>
          <w:sz w:val="20"/>
          <w:szCs w:val="20"/>
        </w:rPr>
        <w:t xml:space="preserve">BLOCK = submission will fail or be misrouted without this fix</w:t>
      </w:r>
    </w:p>
    <w:p>
      <w:pPr>
        <w:pStyle w:val="ListParagraph"/>
        <w:numPr>
          <w:ilvl w:val="0"/>
          <w:numId w:val="2"/>
        </w:numPr>
        <w:spacing w:after="40" w:before="40"/>
      </w:pPr>
      <w:r>
        <w:rPr>
          <w:rFonts w:ascii="Arial" w:cs="Arial" w:eastAsia="Arial" w:hAnsi="Arial"/>
          <w:sz w:val="20"/>
          <w:szCs w:val="20"/>
        </w:rPr>
        <w:t xml:space="preserve">LOW = low risk but recommended for spec compliance</w:t>
      </w:r>
    </w:p>
    <w:p>
      <w:pPr>
        <w:pStyle w:val="ListParagraph"/>
        <w:numPr>
          <w:ilvl w:val="0"/>
          <w:numId w:val="2"/>
        </w:numPr>
        <w:spacing w:after="40" w:before="40"/>
      </w:pPr>
      <w:r>
        <w:rPr>
          <w:rFonts w:ascii="Arial" w:cs="Arial" w:eastAsia="Arial" w:hAnsi="Arial"/>
          <w:sz w:val="20"/>
          <w:szCs w:val="20"/>
        </w:rPr>
        <w:t xml:space="preserve">INFO = informational / accept-risk for initial test submission</w:t>
      </w:r>
    </w:p>
    <w:p>
      <w:pPr>
        <w:spacing w:after="100" w:before="100"/>
      </w:pPr>
      <w:r>
        <w:t xml:space="preserve"/>
      </w:r>
    </w:p>
    <w:p>
      <w:pPr>
        <w:pBdr>
          <w:bottom w:val="single" w:color="BDC3C7" w:sz="4" w:space="1"/>
        </w:pBdr>
        <w:spacing w:after="120" w:before="120"/>
      </w:pPr>
      <w:r>
        <w:t xml:space="preserve"/>
      </w:r>
    </w:p>
    <w:p>
      <w:pPr>
        <w:pStyle w:val="Heading1"/>
        <w:spacing w:after="120" w:before="360"/>
      </w:pPr>
      <w:r>
        <w:rPr>
          <w:rFonts w:ascii="Arial" w:cs="Arial" w:eastAsia="Arial" w:hAnsi="Arial"/>
          <w:b/>
          <w:bCs/>
          <w:color w:val="1A5276"/>
          <w:sz w:val="28"/>
          <w:szCs w:val="28"/>
        </w:rPr>
        <w:t xml:space="preserve">4. Blocking Issues — Fix Before Submitting</w:t>
      </w:r>
    </w:p>
    <w:p>
      <w:pPr>
        <w:pStyle w:val="Heading2"/>
        <w:spacing w:after="80" w:before="240"/>
      </w:pPr>
      <w:r>
        <w:rPr>
          <w:rFonts w:ascii="Arial" w:cs="Arial" w:eastAsia="Arial" w:hAnsi="Arial"/>
          <w:b/>
          <w:bCs/>
          <w:color w:val="2E4057"/>
          <w:sz w:val="24"/>
          <w:szCs w:val="24"/>
        </w:rPr>
        <w:t xml:space="preserve">4.1  Batch Receiver Identifier — Wrong Gateway Routing</w:t>
      </w:r>
    </w:p>
    <w:p>
      <w:pPr>
        <w:spacing w:after="80" w:before="60"/>
      </w:pPr>
      <w:r>
        <w:rPr>
          <w:rFonts w:ascii="Arial" w:cs="Arial" w:eastAsia="Arial" w:hAnsi="Arial"/>
          <w:b/>
          <w:bCs/>
          <w:color w:val="FFFFFF"/>
          <w:sz w:val="18"/>
          <w:szCs w:val="18"/>
          <w:shd w:fill="C0392B" w:val="clear"/>
        </w:rPr>
        <w:t xml:space="preserve">  BLOCKING  </w:t>
      </w:r>
      <w:r>
        <w:t xml:space="preserve">  Affects: IND-T01, IND-T02, IND-T05</w:t>
      </w:r>
    </w:p>
    <w:p>
      <w:pPr>
        <w:spacing w:after="60" w:before="60"/>
      </w:pPr>
      <w:r>
        <w:rPr>
          <w:rFonts w:ascii="Arial" w:cs="Arial" w:eastAsia="Arial" w:hAnsi="Arial"/>
          <w:sz w:val="20"/>
          <w:szCs w:val="20"/>
        </w:rPr>
        <w:t xml:space="preserve">The outermost MCCI_IN200100UV01 batch envelope contains a &lt;receiver&gt; element that identifies the FDA gateway endpoint. All three files specify a non-existent value: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398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Current (Wrong)</w:t>
            </w:r>
          </w:p>
        </w:tc>
        <w:tc>
          <w:tcPr>
            <w:tcW w:type="dxa" w:w="398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Required (Correct)</w:t>
            </w:r>
          </w:p>
        </w:tc>
      </w:tr>
      <w:tr>
        <w:tc>
          <w:tcPr>
            <w:tcW w:type="dxa" w:w="14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XML Location</w:t>
            </w:r>
          </w:p>
        </w:tc>
        <w:tc>
          <w:tcPr>
            <w:tcW w:type="dxa" w:w="398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MCCI_IN200100UV01 / receiver / device / id</w:t>
            </w:r>
          </w:p>
        </w:tc>
        <w:tc>
          <w:tcPr>
            <w:tcW w:type="dxa" w:w="398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MCCI_IN200100UV01 / receiver / device / id</w:t>
            </w:r>
          </w:p>
        </w:tc>
      </w:tr>
      <w:tr>
        <w:tc>
          <w:tcPr>
            <w:tcW w:type="dxa" w:w="14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OID root</w:t>
            </w:r>
          </w:p>
        </w:tc>
        <w:tc>
          <w:tcPr>
            <w:tcW w:type="dxa" w:w="398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2.16.840.1.113883.3.989.2.1.3.14 (same)</w:t>
            </w:r>
          </w:p>
        </w:tc>
        <w:tc>
          <w:tcPr>
            <w:tcW w:type="dxa" w:w="398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2.16.840.1.113883.3.989.2.1.3.14 (same)</w:t>
            </w:r>
          </w:p>
        </w:tc>
      </w:tr>
      <w:tr>
        <w:tc>
          <w:tcPr>
            <w:tcW w:type="dxa" w:w="14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extension value</w:t>
            </w:r>
          </w:p>
        </w:tc>
        <w:tc>
          <w:tcPr>
            <w:tcW w:type="dxa" w:w="398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ZZFDATST_PREMKT</w:t>
            </w:r>
          </w:p>
        </w:tc>
        <w:tc>
          <w:tcPr>
            <w:tcW w:type="dxa" w:w="398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ZZFDA_PREMKT</w:t>
            </w:r>
          </w:p>
        </w:tc>
      </w:tr>
    </w:tbl>
    <w:p>
      <w:pPr>
        <w:spacing w:after="100" w:before="100"/>
      </w:pPr>
      <w:r>
        <w:t xml:space="preserve"/>
      </w:r>
    </w:p>
    <w:p>
      <w:pPr>
        <w:spacing w:after="60" w:before="60"/>
      </w:pPr>
      <w:r>
        <w:rPr>
          <w:rFonts w:ascii="Arial" w:cs="Arial" w:eastAsia="Arial" w:hAnsi="Arial"/>
          <w:sz w:val="20"/>
          <w:szCs w:val="20"/>
        </w:rPr>
        <w:t xml:space="preserve">Current XML (wrong):</w:t>
      </w:r>
    </w:p>
    <w:p>
      <w:pPr>
        <w:spacing w:after="40" w:before="40"/>
        <w:ind w:left="720"/>
      </w:pPr>
      <w:r>
        <w:rPr>
          <w:rFonts w:ascii="Courier New" w:cs="Courier New" w:eastAsia="Courier New" w:hAnsi="Courier New"/>
          <w:color w:val="8B0000"/>
          <w:sz w:val="18"/>
          <w:szCs w:val="18"/>
        </w:rPr>
        <w:t xml:space="preserve">&lt;id root="2.16.840.1.113883.3.989.2.1.3.14" extension="ZZFDATST_PREMKT"/&gt;</w:t>
      </w:r>
    </w:p>
    <w:p>
      <w:pPr>
        <w:spacing w:after="60" w:before="60"/>
      </w:pPr>
      <w:r>
        <w:rPr>
          <w:rFonts w:ascii="Arial" w:cs="Arial" w:eastAsia="Arial" w:hAnsi="Arial"/>
          <w:sz w:val="20"/>
          <w:szCs w:val="20"/>
        </w:rPr>
        <w:t xml:space="preserve">Required XML:</w:t>
      </w:r>
    </w:p>
    <w:p>
      <w:pPr>
        <w:spacing w:after="40" w:before="40"/>
        <w:ind w:left="720"/>
      </w:pPr>
      <w:r>
        <w:rPr>
          <w:rFonts w:ascii="Courier New" w:cs="Courier New" w:eastAsia="Courier New" w:hAnsi="Courier New"/>
          <w:color w:val="8B0000"/>
          <w:sz w:val="18"/>
          <w:szCs w:val="18"/>
        </w:rPr>
        <w:t xml:space="preserve">&lt;id root="2.16.840.1.113883.3.989.2.1.3.14" extension="ZZFDA_PREMKT"/&gt;</w:t>
      </w:r>
    </w:p>
    <w:p>
      <w:pPr>
        <w:spacing w:after="100" w:before="100"/>
      </w:pPr>
      <w:r>
        <w:t xml:space="preserve"/>
      </w:r>
    </w:p>
    <w:p>
      <w:pPr>
        <w:spacing w:after="60" w:before="60"/>
      </w:pPr>
      <w:r>
        <w:rPr>
          <w:rFonts w:ascii="Arial" w:cs="Arial" w:eastAsia="Arial" w:hAnsi="Arial"/>
          <w:b/>
          <w:bCs/>
          <w:sz w:val="20"/>
          <w:szCs w:val="20"/>
        </w:rPr>
        <w:t xml:space="preserve">Why this is blocking:</w:t>
      </w:r>
    </w:p>
    <w:p>
      <w:pPr>
        <w:pStyle w:val="ListParagraph"/>
        <w:numPr>
          <w:ilvl w:val="0"/>
          <w:numId w:val="2"/>
        </w:numPr>
        <w:spacing w:after="40" w:before="40"/>
      </w:pPr>
      <w:r>
        <w:rPr>
          <w:rFonts w:ascii="Arial" w:cs="Arial" w:eastAsia="Arial" w:hAnsi="Arial"/>
          <w:sz w:val="20"/>
          <w:szCs w:val="20"/>
        </w:rPr>
        <w:t xml:space="preserve">ZZFDATST is the postmarket test gateway identifier. The DATST suffix is only valid for postmarket submissions.</w:t>
      </w:r>
    </w:p>
    <w:p>
      <w:pPr>
        <w:pStyle w:val="ListParagraph"/>
        <w:numPr>
          <w:ilvl w:val="0"/>
          <w:numId w:val="2"/>
        </w:numPr>
        <w:spacing w:after="40" w:before="40"/>
      </w:pPr>
      <w:r>
        <w:rPr>
          <w:rFonts w:ascii="Arial" w:cs="Arial" w:eastAsia="Arial" w:hAnsi="Arial"/>
          <w:sz w:val="20"/>
          <w:szCs w:val="20"/>
        </w:rPr>
        <w:t xml:space="preserve">ZZFDATST_PREMKT does not exist as an FDA gateway identifier. There is no gateway that will accept it.</w:t>
      </w:r>
    </w:p>
    <w:p>
      <w:pPr>
        <w:pStyle w:val="ListParagraph"/>
        <w:numPr>
          <w:ilvl w:val="0"/>
          <w:numId w:val="2"/>
        </w:numPr>
        <w:spacing w:after="40" w:before="40"/>
      </w:pPr>
      <w:r>
        <w:rPr>
          <w:rFonts w:ascii="Arial" w:cs="Arial" w:eastAsia="Arial" w:hAnsi="Arial"/>
          <w:sz w:val="20"/>
          <w:szCs w:val="20"/>
        </w:rPr>
        <w:t xml:space="preserve">The FDA ESG NextGen router uses this extension to determine delivery endpoint. An unknown value means the submission cannot be routed and will be rejected at the envelope level, before any business rule validation occurs.</w:t>
      </w:r>
    </w:p>
    <w:p>
      <w:pPr>
        <w:pStyle w:val="ListParagraph"/>
        <w:numPr>
          <w:ilvl w:val="0"/>
          <w:numId w:val="2"/>
        </w:numPr>
        <w:spacing w:after="40" w:before="40"/>
      </w:pPr>
      <w:r>
        <w:rPr>
          <w:rFonts w:ascii="Arial" w:cs="Arial" w:eastAsia="Arial" w:hAnsi="Arial"/>
          <w:sz w:val="20"/>
          <w:szCs w:val="20"/>
        </w:rPr>
        <w:t xml:space="preserve">The correct premarket test identifier is ZZFDA_PREMKT (no DATST infix).</w:t>
      </w:r>
    </w:p>
    <w:p>
      <w:pPr>
        <w:spacing w:after="100" w:before="100"/>
      </w:pPr>
      <w:r>
        <w:t xml:space="preserve"/>
      </w:r>
    </w:p>
    <w:p>
      <w:pPr>
        <w:spacing w:after="60" w:before="60"/>
      </w:pPr>
      <w:r>
        <w:rPr>
          <w:rFonts w:ascii="Arial" w:cs="Arial" w:eastAsia="Arial" w:hAnsi="Arial"/>
          <w:b/>
          <w:bCs/>
          <w:sz w:val="20"/>
          <w:szCs w:val="20"/>
        </w:rPr>
        <w:t xml:space="preserve">Code location to fix:</w:t>
      </w:r>
    </w:p>
    <w:p>
      <w:pPr>
        <w:spacing w:after="60" w:before="60"/>
      </w:pPr>
      <w:r>
        <w:rPr>
          <w:rFonts w:ascii="Arial" w:cs="Arial" w:eastAsia="Arial" w:hAnsi="Arial"/>
          <w:sz w:val="20"/>
          <w:szCs w:val="20"/>
        </w:rPr>
        <w:t xml:space="preserve">The XML generator module that builds the MCCI_IN200100UV01 batch wrapper. Look for the logic that selects the batch receiver extension based on submission type (postmarket vs. IND/premarket). The condition must emit ZZFDA_PREMKT when the submission type is IND/SUSAR, not ZZFDATST_PREMKT.</w:t>
      </w:r>
    </w:p>
    <w:p>
      <w:pPr>
        <w:spacing w:after="100" w:before="100"/>
      </w:pPr>
      <w:r>
        <w:t xml:space="preserve"/>
      </w:r>
    </w:p>
    <w:p>
      <w:pPr>
        <w:pStyle w:val="Heading2"/>
        <w:spacing w:after="80" w:before="240"/>
      </w:pPr>
      <w:r>
        <w:rPr>
          <w:rFonts w:ascii="Arial" w:cs="Arial" w:eastAsia="Arial" w:hAnsi="Arial"/>
          <w:b/>
          <w:bCs/>
          <w:color w:val="2E4057"/>
          <w:sz w:val="24"/>
          <w:szCs w:val="24"/>
        </w:rPr>
        <w:t xml:space="preserve">4.2  Version Extension — Reports Misclassified as Follow-Up</w:t>
      </w:r>
    </w:p>
    <w:p>
      <w:pPr>
        <w:spacing w:after="80" w:before="60"/>
      </w:pPr>
      <w:r>
        <w:rPr>
          <w:rFonts w:ascii="Arial" w:cs="Arial" w:eastAsia="Arial" w:hAnsi="Arial"/>
          <w:b/>
          <w:bCs/>
          <w:color w:val="FFFFFF"/>
          <w:sz w:val="18"/>
          <w:szCs w:val="18"/>
          <w:shd w:fill="C0392B" w:val="clear"/>
        </w:rPr>
        <w:t xml:space="preserve">  BLOCKING  </w:t>
      </w:r>
      <w:r>
        <w:t xml:space="preserve">  Affects: IND-T01, IND-T02, IND-T05</w:t>
      </w:r>
    </w:p>
    <w:p>
      <w:pPr>
        <w:spacing w:after="60" w:before="60"/>
      </w:pPr>
      <w:r>
        <w:rPr>
          <w:rFonts w:ascii="Arial" w:cs="Arial" w:eastAsia="Arial" w:hAnsi="Arial"/>
          <w:sz w:val="20"/>
          <w:szCs w:val="20"/>
        </w:rPr>
        <w:t xml:space="preserve">The investigationEvent carries a version ID element using OID root 2.16.840.1.113883.3.989.2.1.3.4. The extension attribute encodes report version per the E2B(R3) transmission history protocol: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80"/>
        <w:gridCol w:w="5480"/>
      </w:tblGrid>
      <w:tr>
        <w:tc>
          <w:tcPr>
            <w:tcW w:type="dxa" w:w="14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extension</w:t>
            </w:r>
          </w:p>
        </w:tc>
        <w:tc>
          <w:tcPr>
            <w:tcW w:type="dxa" w:w="248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Meaning</w:t>
            </w:r>
          </w:p>
        </w:tc>
        <w:tc>
          <w:tcPr>
            <w:tcW w:type="dxa" w:w="548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When to use</w:t>
            </w:r>
          </w:p>
        </w:tc>
      </w:tr>
      <w:tr>
        <w:tc>
          <w:tcPr>
            <w:tcW w:type="dxa" w:w="140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248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used by FDA</w:t>
            </w:r>
          </w:p>
        </w:tc>
        <w:tc>
          <w:tcPr>
            <w:tcW w:type="dxa" w:w="548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Reserved / not applicable</w:t>
            </w:r>
          </w:p>
        </w:tc>
      </w:tr>
      <w:tr>
        <w:tc>
          <w:tcPr>
            <w:tcW w:type="dxa" w:w="140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248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Initial report</w:t>
            </w:r>
          </w:p>
        </w:tc>
        <w:tc>
          <w:tcPr>
            <w:tcW w:type="dxa" w:w="548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First-ever submission of this case — always use for new ICSRs</w:t>
            </w:r>
          </w:p>
        </w:tc>
      </w:tr>
      <w:tr>
        <w:tc>
          <w:tcPr>
            <w:tcW w:type="dxa" w:w="14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248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follow-up</w:t>
            </w:r>
          </w:p>
        </w:tc>
        <w:tc>
          <w:tcPr>
            <w:tcW w:type="dxa" w:w="548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Amendment to a previously accepted case — DO NOT use for new reports</w:t>
            </w:r>
          </w:p>
        </w:tc>
      </w:tr>
      <w:tr>
        <w:tc>
          <w:tcPr>
            <w:tcW w:type="dxa" w:w="140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248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Subsequent follow-ups</w:t>
            </w:r>
          </w:p>
        </w:tc>
        <w:tc>
          <w:tcPr>
            <w:tcW w:type="dxa" w:w="548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Each amendment increments by 1</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398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Current (Wrong)</w:t>
            </w:r>
          </w:p>
        </w:tc>
        <w:tc>
          <w:tcPr>
            <w:tcW w:type="dxa" w:w="398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Required (Correct)</w:t>
            </w:r>
          </w:p>
        </w:tc>
      </w:tr>
      <w:tr>
        <w:tc>
          <w:tcPr>
            <w:tcW w:type="dxa" w:w="14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XML Location</w:t>
            </w:r>
          </w:p>
        </w:tc>
        <w:tc>
          <w:tcPr>
            <w:tcW w:type="dxa" w:w="398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investigationEvent / id (version)</w:t>
            </w:r>
          </w:p>
        </w:tc>
        <w:tc>
          <w:tcPr>
            <w:tcW w:type="dxa" w:w="398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investigationEvent / id (version)</w:t>
            </w:r>
          </w:p>
        </w:tc>
      </w:tr>
      <w:tr>
        <w:tc>
          <w:tcPr>
            <w:tcW w:type="dxa" w:w="14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OID root</w:t>
            </w:r>
          </w:p>
        </w:tc>
        <w:tc>
          <w:tcPr>
            <w:tcW w:type="dxa" w:w="398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2.16.840.1.113883.3.989.2.1.3.4 (same)</w:t>
            </w:r>
          </w:p>
        </w:tc>
        <w:tc>
          <w:tcPr>
            <w:tcW w:type="dxa" w:w="398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2.16.840.1.113883.3.989.2.1.3.4 (same)</w:t>
            </w:r>
          </w:p>
        </w:tc>
      </w:tr>
      <w:tr>
        <w:tc>
          <w:tcPr>
            <w:tcW w:type="dxa" w:w="14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extension value</w:t>
            </w:r>
          </w:p>
        </w:tc>
        <w:tc>
          <w:tcPr>
            <w:tcW w:type="dxa" w:w="398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(implies follow-up)</w:t>
            </w:r>
          </w:p>
        </w:tc>
        <w:tc>
          <w:tcPr>
            <w:tcW w:type="dxa" w:w="398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(initial report)</w:t>
            </w:r>
          </w:p>
        </w:tc>
      </w:tr>
    </w:tbl>
    <w:p>
      <w:pPr>
        <w:spacing w:after="100" w:before="100"/>
      </w:pPr>
      <w:r>
        <w:t xml:space="preserve"/>
      </w:r>
    </w:p>
    <w:p>
      <w:pPr>
        <w:spacing w:after="60" w:before="60"/>
      </w:pPr>
      <w:r>
        <w:rPr>
          <w:rFonts w:ascii="Arial" w:cs="Arial" w:eastAsia="Arial" w:hAnsi="Arial"/>
          <w:sz w:val="20"/>
          <w:szCs w:val="20"/>
        </w:rPr>
        <w:t xml:space="preserve">Current XML (wrong):</w:t>
      </w:r>
    </w:p>
    <w:p>
      <w:pPr>
        <w:spacing w:after="40" w:before="40"/>
        <w:ind w:left="720"/>
      </w:pPr>
      <w:r>
        <w:rPr>
          <w:rFonts w:ascii="Courier New" w:cs="Courier New" w:eastAsia="Courier New" w:hAnsi="Courier New"/>
          <w:color w:val="8B0000"/>
          <w:sz w:val="18"/>
          <w:szCs w:val="18"/>
        </w:rPr>
        <w:t xml:space="preserve">&lt;id root="2.16.840.1.113883.3.989.2.1.3.4" extension="3"/&gt;</w:t>
      </w:r>
    </w:p>
    <w:p>
      <w:pPr>
        <w:spacing w:after="60" w:before="60"/>
      </w:pPr>
      <w:r>
        <w:rPr>
          <w:rFonts w:ascii="Arial" w:cs="Arial" w:eastAsia="Arial" w:hAnsi="Arial"/>
          <w:sz w:val="20"/>
          <w:szCs w:val="20"/>
        </w:rPr>
        <w:t xml:space="preserve">Required XML:</w:t>
      </w:r>
    </w:p>
    <w:p>
      <w:pPr>
        <w:spacing w:after="40" w:before="40"/>
        <w:ind w:left="720"/>
      </w:pPr>
      <w:r>
        <w:rPr>
          <w:rFonts w:ascii="Courier New" w:cs="Courier New" w:eastAsia="Courier New" w:hAnsi="Courier New"/>
          <w:color w:val="8B0000"/>
          <w:sz w:val="18"/>
          <w:szCs w:val="18"/>
        </w:rPr>
        <w:t xml:space="preserve">&lt;id root="2.16.840.1.113883.3.989.2.1.3.4" extension="2"/&gt;</w:t>
      </w:r>
    </w:p>
    <w:p>
      <w:pPr>
        <w:spacing w:after="100" w:before="100"/>
      </w:pPr>
      <w:r>
        <w:t xml:space="preserve"/>
      </w:r>
    </w:p>
    <w:p>
      <w:pPr>
        <w:spacing w:after="60" w:before="60"/>
      </w:pPr>
      <w:r>
        <w:rPr>
          <w:rFonts w:ascii="Arial" w:cs="Arial" w:eastAsia="Arial" w:hAnsi="Arial"/>
          <w:b/>
          <w:bCs/>
          <w:sz w:val="20"/>
          <w:szCs w:val="20"/>
        </w:rPr>
        <w:t xml:space="preserve">Why this is blocking:</w:t>
      </w:r>
    </w:p>
    <w:p>
      <w:pPr>
        <w:pStyle w:val="ListParagraph"/>
        <w:numPr>
          <w:ilvl w:val="0"/>
          <w:numId w:val="2"/>
        </w:numPr>
        <w:spacing w:after="40" w:before="40"/>
      </w:pPr>
      <w:r>
        <w:rPr>
          <w:rFonts w:ascii="Arial" w:cs="Arial" w:eastAsia="Arial" w:hAnsi="Arial"/>
          <w:sz w:val="20"/>
          <w:szCs w:val="20"/>
        </w:rPr>
        <w:t xml:space="preserve">When FDA receives a report with version extension="3", the CDER FAERS validator checks for a previously accepted transmission for the same case with version extension="2". No such prior submission exists for any of these test cases.</w:t>
      </w:r>
    </w:p>
    <w:p>
      <w:pPr>
        <w:pStyle w:val="ListParagraph"/>
        <w:numPr>
          <w:ilvl w:val="0"/>
          <w:numId w:val="2"/>
        </w:numPr>
        <w:spacing w:after="40" w:before="40"/>
      </w:pPr>
      <w:r>
        <w:rPr>
          <w:rFonts w:ascii="Arial" w:cs="Arial" w:eastAsia="Arial" w:hAnsi="Arial"/>
          <w:sz w:val="20"/>
          <w:szCs w:val="20"/>
        </w:rPr>
        <w:t xml:space="preserve">This will generate a business rule error: "Prior transmission not found" or equivalent, resulting in an AR (Application Reject) ACK.</w:t>
      </w:r>
    </w:p>
    <w:p>
      <w:pPr>
        <w:pStyle w:val="ListParagraph"/>
        <w:numPr>
          <w:ilvl w:val="0"/>
          <w:numId w:val="2"/>
        </w:numPr>
        <w:spacing w:after="40" w:before="40"/>
      </w:pPr>
      <w:r>
        <w:rPr>
          <w:rFonts w:ascii="Arial" w:cs="Arial" w:eastAsia="Arial" w:hAnsi="Arial"/>
          <w:sz w:val="20"/>
          <w:szCs w:val="20"/>
        </w:rPr>
        <w:t xml:space="preserve">All three files are new/initial reports and must use extension="2".</w:t>
      </w:r>
    </w:p>
    <w:p>
      <w:pPr>
        <w:spacing w:after="100" w:before="100"/>
      </w:pPr>
      <w:r>
        <w:t xml:space="preserve"/>
      </w:r>
    </w:p>
    <w:p>
      <w:pPr>
        <w:spacing w:after="60" w:before="60"/>
      </w:pPr>
      <w:r>
        <w:rPr>
          <w:rFonts w:ascii="Arial" w:cs="Arial" w:eastAsia="Arial" w:hAnsi="Arial"/>
          <w:b/>
          <w:bCs/>
          <w:sz w:val="20"/>
          <w:szCs w:val="20"/>
        </w:rPr>
        <w:t xml:space="preserve">Code location to fix:</w:t>
      </w:r>
    </w:p>
    <w:p>
      <w:pPr>
        <w:spacing w:after="60" w:before="60"/>
      </w:pPr>
      <w:r>
        <w:rPr>
          <w:rFonts w:ascii="Arial" w:cs="Arial" w:eastAsia="Arial" w:hAnsi="Arial"/>
          <w:sz w:val="20"/>
          <w:szCs w:val="20"/>
        </w:rPr>
        <w:t xml:space="preserve">The XML generator module that builds the investigationEvent block. The version extension should default to "2" for any new/initial report. The value "3" or higher should only be set when generating a follow-up submission for an already-accepted case (i.e., when there is a prior transmission on record with a CA+AA ACK).</w:t>
      </w:r>
    </w:p>
    <w:p>
      <w:pPr>
        <w:spacing w:after="100" w:before="100"/>
      </w:pPr>
      <w:r>
        <w:t xml:space="preserve"/>
      </w:r>
    </w:p>
    <w:p>
      <w:pPr>
        <w:pBdr>
          <w:bottom w:val="single" w:color="BDC3C7" w:sz="4" w:space="1"/>
        </w:pBdr>
        <w:spacing w:after="120" w:before="120"/>
      </w:pPr>
      <w:r>
        <w:t xml:space="preserve"/>
      </w:r>
    </w:p>
    <w:p>
      <w:pPr>
        <w:pStyle w:val="Heading1"/>
        <w:spacing w:after="120" w:before="360"/>
      </w:pPr>
      <w:r>
        <w:rPr>
          <w:rFonts w:ascii="Arial" w:cs="Arial" w:eastAsia="Arial" w:hAnsi="Arial"/>
          <w:b/>
          <w:bCs/>
          <w:color w:val="1A5276"/>
          <w:sz w:val="28"/>
          <w:szCs w:val="28"/>
        </w:rPr>
        <w:t xml:space="preserve">5. Non-Blocking Issues — Recommended or Informational</w:t>
      </w:r>
    </w:p>
    <w:p>
      <w:pPr>
        <w:pStyle w:val="Heading2"/>
        <w:spacing w:after="80" w:before="240"/>
      </w:pPr>
      <w:r>
        <w:rPr>
          <w:rFonts w:ascii="Arial" w:cs="Arial" w:eastAsia="Arial" w:hAnsi="Arial"/>
          <w:b/>
          <w:bCs/>
          <w:color w:val="2E4057"/>
          <w:sz w:val="24"/>
          <w:szCs w:val="24"/>
        </w:rPr>
        <w:t xml:space="preserve">5.1  Sender Block Missing Secondary OID</w:t>
      </w:r>
    </w:p>
    <w:p>
      <w:pPr>
        <w:spacing w:after="80" w:before="60"/>
      </w:pPr>
      <w:r>
        <w:rPr>
          <w:rFonts w:ascii="Arial" w:cs="Arial" w:eastAsia="Arial" w:hAnsi="Arial"/>
          <w:b/>
          <w:bCs/>
          <w:color w:val="FFFFFF"/>
          <w:sz w:val="18"/>
          <w:szCs w:val="18"/>
          <w:shd w:fill="D4AC0D" w:val="clear"/>
        </w:rPr>
        <w:t xml:space="preserve">  LOW RISK  </w:t>
      </w:r>
      <w:r>
        <w:t xml:space="preserve">  Affects: IND-T01, IND-T02, IND-T05</w:t>
      </w:r>
    </w:p>
    <w:p>
      <w:pPr>
        <w:spacing w:after="60" w:before="60"/>
      </w:pPr>
      <w:r>
        <w:rPr>
          <w:rFonts w:ascii="Arial" w:cs="Arial" w:eastAsia="Arial" w:hAnsi="Arial"/>
          <w:sz w:val="20"/>
          <w:szCs w:val="20"/>
        </w:rPr>
        <w:t xml:space="preserve">The PORR_IN049016UV sender block contains two ID elements but is missing a third that is present in the proven postmarket golden submission (case 2L8T, v37, CA+AA confirmed):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ID #</w:t>
            </w:r>
          </w:p>
        </w:tc>
        <w:tc>
          <w:tcPr>
            <w:tcW w:type="dxa" w:w="398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Postmarket Golden (2L8T v37)</w:t>
            </w:r>
          </w:p>
        </w:tc>
        <w:tc>
          <w:tcPr>
            <w:tcW w:type="dxa" w:w="398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IND Files (current)</w:t>
            </w:r>
          </w:p>
        </w:tc>
      </w:tr>
      <w:tr>
        <w:tc>
          <w:tcPr>
            <w:tcW w:type="dxa" w:w="140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398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&lt;id root=".3.989.2.1.3.11" extension="334818134"/&gt;</w:t>
            </w:r>
          </w:p>
        </w:tc>
        <w:tc>
          <w:tcPr>
            <w:tcW w:type="dxa" w:w="398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&lt;id root=".3.989.2.1.3.11" extension="334818134"/&gt;  ✓</w:t>
            </w:r>
          </w:p>
        </w:tc>
      </w:tr>
      <w:tr>
        <w:tc>
          <w:tcPr>
            <w:tcW w:type="dxa" w:w="14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398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&lt;id root=".3.989.2.1.3.12" extension="1"/&gt;  ← present</w:t>
            </w:r>
          </w:p>
        </w:tc>
        <w:tc>
          <w:tcPr>
            <w:tcW w:type="dxa" w:w="398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MISSING</w:t>
            </w:r>
          </w:p>
        </w:tc>
      </w:tr>
      <w:tr>
        <w:tc>
          <w:tcPr>
            <w:tcW w:type="dxa" w:w="140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3980"/>
            <w:gridSpan w:val="1"/>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&lt;id root=".3.989.2.1.3.13" extension="334818134"/&gt;</w:t>
            </w:r>
          </w:p>
        </w:tc>
        <w:tc>
          <w:tcPr>
            <w:tcW w:type="dxa" w:w="398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&lt;id root=".3.989.2.1.3.13" extension="334818134"/&gt;  ✓</w:t>
            </w:r>
          </w:p>
        </w:tc>
      </w:tr>
      <w:tr>
        <w:tc>
          <w:tcPr>
            <w:tcW w:type="dxa" w:w="14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398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&lt;id root="1.3.6.1.4.1.519.1" extension="334818134"/&gt;</w:t>
            </w:r>
          </w:p>
        </w:tc>
        <w:tc>
          <w:tcPr>
            <w:tcW w:type="dxa" w:w="398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&lt;id root="1.3.6.1.4.1.519.1" extension="334818134"/&gt;  ✓</w:t>
            </w:r>
          </w:p>
        </w:tc>
      </w:tr>
    </w:tbl>
    <w:p>
      <w:pPr>
        <w:spacing w:after="100" w:before="100"/>
      </w:pPr>
      <w:r>
        <w:t xml:space="preserve"/>
      </w:r>
    </w:p>
    <w:p>
      <w:pPr>
        <w:spacing w:after="60" w:before="60"/>
      </w:pPr>
      <w:r>
        <w:rPr>
          <w:rFonts w:ascii="Arial" w:cs="Arial" w:eastAsia="Arial" w:hAnsi="Arial"/>
          <w:sz w:val="20"/>
          <w:szCs w:val="20"/>
        </w:rPr>
        <w:t xml:space="preserve">Recommended fix:</w:t>
      </w:r>
    </w:p>
    <w:p>
      <w:pPr>
        <w:spacing w:after="40" w:before="40"/>
        <w:ind w:left="720"/>
      </w:pPr>
      <w:r>
        <w:rPr>
          <w:rFonts w:ascii="Courier New" w:cs="Courier New" w:eastAsia="Courier New" w:hAnsi="Courier New"/>
          <w:color w:val="8B0000"/>
          <w:sz w:val="18"/>
          <w:szCs w:val="18"/>
        </w:rPr>
        <w:t xml:space="preserve">&lt;id root="2.16.840.1.113883.3.989.2.1.3.12" extension="1"/&gt;</w:t>
      </w:r>
    </w:p>
    <w:p>
      <w:pPr>
        <w:spacing w:after="60" w:before="60"/>
      </w:pPr>
      <w:r>
        <w:rPr>
          <w:rFonts w:ascii="Arial" w:cs="Arial" w:eastAsia="Arial" w:hAnsi="Arial"/>
          <w:sz w:val="20"/>
          <w:szCs w:val="20"/>
        </w:rPr>
        <w:t xml:space="preserve">Add this as the second ID element in the PORR_IN049016UV sender device block (after OID .3.11, before OID .3.13). This OID .3.12 is the sender's tier-2 registration identifier. Its absence has not been tested on ZZFDA_PREMKT — it is proven acceptable on ZZFDATST — but adding it aligns with the golden standard.</w:t>
      </w:r>
    </w:p>
    <w:p>
      <w:pPr>
        <w:spacing w:after="100" w:before="100"/>
      </w:pPr>
      <w:r>
        <w:t xml:space="preserve"/>
      </w:r>
    </w:p>
    <w:p>
      <w:pPr>
        <w:pStyle w:val="Heading2"/>
        <w:spacing w:after="80" w:before="240"/>
      </w:pPr>
      <w:r>
        <w:rPr>
          <w:rFonts w:ascii="Arial" w:cs="Arial" w:eastAsia="Arial" w:hAnsi="Arial"/>
          <w:b/>
          <w:bCs/>
          <w:color w:val="2E4057"/>
          <w:sz w:val="24"/>
          <w:szCs w:val="24"/>
        </w:rPr>
        <w:t xml:space="preserve">5.2  7-Day Report Type Code Untested (IND-T05 Only)</w:t>
      </w:r>
    </w:p>
    <w:p>
      <w:pPr>
        <w:spacing w:after="80" w:before="60"/>
      </w:pPr>
      <w:r>
        <w:rPr>
          <w:rFonts w:ascii="Arial" w:cs="Arial" w:eastAsia="Arial" w:hAnsi="Arial"/>
          <w:b/>
          <w:bCs/>
          <w:color w:val="FFFFFF"/>
          <w:sz w:val="18"/>
          <w:szCs w:val="18"/>
          <w:shd w:fill="1A5276" w:val="clear"/>
        </w:rPr>
        <w:t xml:space="preserve">  INFO  </w:t>
      </w:r>
      <w:r>
        <w:t xml:space="preserve">  Affects: IND-T05 only</w:t>
      </w:r>
    </w:p>
    <w:p>
      <w:pPr>
        <w:spacing w:after="60" w:before="60"/>
      </w:pPr>
      <w:r>
        <w:rPr>
          <w:rFonts w:ascii="Arial" w:cs="Arial" w:eastAsia="Arial" w:hAnsi="Arial"/>
          <w:sz w:val="20"/>
          <w:szCs w:val="20"/>
        </w:rPr>
        <w:t xml:space="preserve">IND-T05 contains a localCriteriaReportType element with code="7" indicating a 7-day expedited safety report (required for fatal/life-threatening SUSARs under 21 CFR 312.32(c)(1)(i)(B)):</w:t>
      </w:r>
    </w:p>
    <w:p>
      <w:pPr>
        <w:spacing w:after="40" w:before="40"/>
        <w:ind w:left="720"/>
      </w:pPr>
      <w:r>
        <w:rPr>
          <w:rFonts w:ascii="Courier New" w:cs="Courier New" w:eastAsia="Courier New" w:hAnsi="Courier New"/>
          <w:color w:val="8B0000"/>
          <w:sz w:val="18"/>
          <w:szCs w:val="18"/>
        </w:rPr>
        <w:t xml:space="preserve">&lt;value xsi:type="CE" code="7" displayName="7-Day Report" codeSystem="2.16.840.1.113883.3.989.2.1.1.X"/&gt;</w:t>
      </w:r>
    </w:p>
    <w:p>
      <w:pPr>
        <w:spacing w:after="100" w:before="100"/>
      </w:pPr>
      <w:r>
        <w:t xml:space="preserve"/>
      </w:r>
    </w:p>
    <w:p>
      <w:pPr>
        <w:spacing w:after="60" w:before="60"/>
      </w:pPr>
      <w:r>
        <w:rPr>
          <w:rFonts w:ascii="Arial" w:cs="Arial" w:eastAsia="Arial" w:hAnsi="Arial"/>
          <w:sz w:val="20"/>
          <w:szCs w:val="20"/>
        </w:rPr>
        <w:t xml:space="preserve">The only empirically proven value for this element is code="1" (15-Day Report), which has received CA+AA on ZZFDATST. Code="7" has never been submitted to any FDA gateway and its acceptance is unconfirmed.</w:t>
      </w:r>
    </w:p>
    <w:p>
      <w:pPr>
        <w:pStyle w:val="ListParagraph"/>
        <w:numPr>
          <w:ilvl w:val="0"/>
          <w:numId w:val="2"/>
        </w:numPr>
        <w:spacing w:after="40" w:before="40"/>
      </w:pPr>
      <w:r>
        <w:rPr>
          <w:rFonts w:ascii="Arial" w:cs="Arial" w:eastAsia="Arial" w:hAnsi="Arial"/>
          <w:sz w:val="20"/>
          <w:szCs w:val="20"/>
        </w:rPr>
        <w:t xml:space="preserve">This is structurally correct per E2B(R3) spec and ICH E2B(R3) implementation guide.</w:t>
      </w:r>
    </w:p>
    <w:p>
      <w:pPr>
        <w:pStyle w:val="ListParagraph"/>
        <w:numPr>
          <w:ilvl w:val="0"/>
          <w:numId w:val="2"/>
        </w:numPr>
        <w:spacing w:after="40" w:before="40"/>
      </w:pPr>
      <w:r>
        <w:rPr>
          <w:rFonts w:ascii="Arial" w:cs="Arial" w:eastAsia="Arial" w:hAnsi="Arial"/>
          <w:sz w:val="20"/>
          <w:szCs w:val="20"/>
        </w:rPr>
        <w:t xml:space="preserve">For a test submission, this is acceptable risk — if it fails, it provides diagnostic information.</w:t>
      </w:r>
    </w:p>
    <w:p>
      <w:pPr>
        <w:pStyle w:val="ListParagraph"/>
        <w:numPr>
          <w:ilvl w:val="0"/>
          <w:numId w:val="2"/>
        </w:numPr>
        <w:spacing w:after="40" w:before="40"/>
      </w:pPr>
      <w:r>
        <w:rPr>
          <w:rFonts w:ascii="Arial" w:cs="Arial" w:eastAsia="Arial" w:hAnsi="Arial"/>
          <w:sz w:val="20"/>
          <w:szCs w:val="20"/>
        </w:rPr>
        <w:t xml:space="preserve">If desired, swap to code="1" to guarantee a clean ACK on the first premarket submission.</w:t>
      </w:r>
    </w:p>
    <w:p>
      <w:pPr>
        <w:spacing w:after="100" w:before="100"/>
      </w:pPr>
      <w:r>
        <w:t xml:space="preserve"/>
      </w:r>
    </w:p>
    <w:p>
      <w:pPr>
        <w:pStyle w:val="Heading2"/>
        <w:spacing w:after="80" w:before="240"/>
      </w:pPr>
      <w:r>
        <w:rPr>
          <w:rFonts w:ascii="Arial" w:cs="Arial" w:eastAsia="Arial" w:hAnsi="Arial"/>
          <w:b/>
          <w:bCs/>
          <w:color w:val="2E4057"/>
          <w:sz w:val="24"/>
          <w:szCs w:val="24"/>
        </w:rPr>
        <w:t xml:space="preserve">5.3  Race/Ethnicity Codes on PREMKT Gateway — Untested</w:t>
      </w:r>
    </w:p>
    <w:p>
      <w:pPr>
        <w:spacing w:after="80" w:before="60"/>
      </w:pPr>
      <w:r>
        <w:rPr>
          <w:rFonts w:ascii="Arial" w:cs="Arial" w:eastAsia="Arial" w:hAnsi="Arial"/>
          <w:b/>
          <w:bCs/>
          <w:color w:val="FFFFFF"/>
          <w:sz w:val="18"/>
          <w:szCs w:val="18"/>
          <w:shd w:fill="1A5276" w:val="clear"/>
        </w:rPr>
        <w:t xml:space="preserve">  INFO  </w:t>
      </w:r>
      <w:r>
        <w:t xml:space="preserve">  Affects: IND-T01, IND-T02, IND-T05</w:t>
      </w:r>
    </w:p>
    <w:p>
      <w:pPr>
        <w:spacing w:after="60" w:before="60"/>
      </w:pPr>
      <w:r>
        <w:rPr>
          <w:rFonts w:ascii="Arial" w:cs="Arial" w:eastAsia="Arial" w:hAnsi="Arial"/>
          <w:sz w:val="20"/>
          <w:szCs w:val="20"/>
        </w:rPr>
        <w:t xml:space="preserve">The race observation (C17049/C41260) and ethnic group observation (C16564/C41222) are present in all three files. These code values are PROVEN ACCEPTED on ZZFDATST (postmarket test gateway), but this will be the first submission to ZZFDA_PREMKT. The CDER IND validator may differ from the postmarket FAERS validator in its handling of these NCI Thesaurus codes.</w:t>
      </w:r>
    </w:p>
    <w:p>
      <w:pPr>
        <w:spacing w:after="60" w:before="60"/>
      </w:pPr>
      <w:r>
        <w:rPr>
          <w:rFonts w:ascii="Arial" w:cs="Arial" w:eastAsia="Arial" w:hAnsi="Arial"/>
          <w:sz w:val="20"/>
          <w:szCs w:val="20"/>
        </w:rPr>
        <w:t xml:space="preserve">No fix recommended — accept risk and observe ACK. If rejected, nullFlavor these observations as a fallback.</w:t>
      </w:r>
    </w:p>
    <w:p>
      <w:pPr>
        <w:spacing w:after="100" w:before="100"/>
      </w:pPr>
      <w:r>
        <w:t xml:space="preserve"/>
      </w:r>
    </w:p>
    <w:p>
      <w:pPr>
        <w:pBdr>
          <w:bottom w:val="single" w:color="BDC3C7" w:sz="4" w:space="1"/>
        </w:pBdr>
        <w:spacing w:after="120" w:before="120"/>
      </w:pPr>
      <w:r>
        <w:t xml:space="preserve"/>
      </w:r>
    </w:p>
    <w:p>
      <w:pPr>
        <w:pStyle w:val="Heading1"/>
        <w:spacing w:after="120" w:before="360"/>
      </w:pPr>
      <w:r>
        <w:rPr>
          <w:rFonts w:ascii="Arial" w:cs="Arial" w:eastAsia="Arial" w:hAnsi="Arial"/>
          <w:b/>
          <w:bCs/>
          <w:color w:val="1A5276"/>
          <w:sz w:val="28"/>
          <w:szCs w:val="28"/>
        </w:rPr>
        <w:t xml:space="preserve">6. Elements Verified Correct</w:t>
      </w:r>
    </w:p>
    <w:p>
      <w:pPr>
        <w:spacing w:after="60" w:before="60"/>
      </w:pPr>
      <w:r>
        <w:rPr>
          <w:rFonts w:ascii="Arial" w:cs="Arial" w:eastAsia="Arial" w:hAnsi="Arial"/>
          <w:sz w:val="20"/>
          <w:szCs w:val="20"/>
        </w:rPr>
        <w:t xml:space="preserve">The following elements were individually verified and are structurally and semantically correct for IND/SUSAR premarket submissions: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Element</w:t>
            </w:r>
          </w:p>
        </w:tc>
        <w:tc>
          <w:tcPr>
            <w:tcW w:type="dxa" w:w="616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32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PORR receiver (CDER_IND)</w:t>
            </w:r>
          </w:p>
        </w:tc>
        <w:tc>
          <w:tcPr>
            <w:tcW w:type="dxa" w:w="616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OID .3.12 extension="CDER_IND" — correct for premarket</w:t>
            </w:r>
          </w:p>
        </w:tc>
      </w:tr>
      <w:tr>
        <w:tc>
          <w:tcPr>
            <w:tcW w:type="dxa" w:w="32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ICH Report Type C.1.3</w:t>
            </w:r>
          </w:p>
        </w:tc>
        <w:tc>
          <w:tcPr>
            <w:tcW w:type="dxa" w:w="6160"/>
            <w:gridSpan w:val="1"/>
            <w:tcBorders>
              <w:top w:val="single" w:color="C0C0C0" w:sz="1"/>
              <w:left w:val="single" w:color="C0C0C0" w:sz="1"/>
              <w:bottom w:val="single" w:color="C0C0C0" w:sz="1"/>
              <w:right w:val="single" w:color="C0C0C0" w:sz="1"/>
            </w:tcBorders>
            <w:shd w:fill="C8F5D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code="2" (Report from study) — mandatory for IND context</w:t>
            </w:r>
          </w:p>
        </w:tc>
      </w:tr>
      <w:tr>
        <w:tc>
          <w:tcPr>
            <w:tcW w:type="dxa" w:w="32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researchStudy / IND OID</w:t>
            </w:r>
          </w:p>
        </w:tc>
        <w:tc>
          <w:tcPr>
            <w:tcW w:type="dxa" w:w="616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extension="123456" at root 2.16.840.1.113883.3.989.5.1.2.2.1.2.1</w:t>
            </w:r>
          </w:p>
        </w:tc>
      </w:tr>
      <w:tr>
        <w:tc>
          <w:tcPr>
            <w:tcW w:type="dxa" w:w="32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Drug authorization G.k.3.1</w:t>
            </w:r>
          </w:p>
        </w:tc>
        <w:tc>
          <w:tcPr>
            <w:tcW w:type="dxa" w:w="6160"/>
            <w:gridSpan w:val="1"/>
            <w:tcBorders>
              <w:top w:val="single" w:color="C0C0C0" w:sz="1"/>
              <w:left w:val="single" w:color="C0C0C0" w:sz="1"/>
              <w:bottom w:val="single" w:color="C0C0C0" w:sz="1"/>
              <w:right w:val="single" w:color="C0C0C0" w:sz="1"/>
            </w:tcBorders>
            <w:shd w:fill="C8F5D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IND123456 at OID .3.989.2.1.3.4 on suspect drug — present</w:t>
            </w:r>
          </w:p>
        </w:tc>
      </w:tr>
      <w:tr>
        <w:tc>
          <w:tcPr>
            <w:tcW w:type="dxa" w:w="32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Study type C.5.4</w:t>
            </w:r>
          </w:p>
        </w:tc>
        <w:tc>
          <w:tcPr>
            <w:tcW w:type="dxa" w:w="616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code="1" (Clinical trials) — correct</w:t>
            </w:r>
          </w:p>
        </w:tc>
      </w:tr>
      <w:tr>
        <w:tc>
          <w:tcPr>
            <w:tcW w:type="dxa" w:w="32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IND-T05 fatal indicators</w:t>
            </w:r>
          </w:p>
        </w:tc>
        <w:tc>
          <w:tcPr>
            <w:tcW w:type="dxa" w:w="6160"/>
            <w:gridSpan w:val="1"/>
            <w:tcBorders>
              <w:top w:val="single" w:color="C0C0C0" w:sz="1"/>
              <w:left w:val="single" w:color="C0C0C0" w:sz="1"/>
              <w:bottom w:val="single" w:color="C0C0C0" w:sz="1"/>
              <w:right w:val="single" w:color="C0C0C0" w:sz="1"/>
            </w:tcBorders>
            <w:shd w:fill="C8F5D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resultsInDeath + isLifeThreatening=true, outcome=5, C83121=death, C28554 observation with date</w:t>
            </w:r>
          </w:p>
        </w:tc>
      </w:tr>
      <w:tr>
        <w:tc>
          <w:tcPr>
            <w:tcW w:type="dxa" w:w="32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Reaction effectiveTime T05</w:t>
            </w:r>
          </w:p>
        </w:tc>
        <w:tc>
          <w:tcPr>
            <w:tcW w:type="dxa" w:w="616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Both low (onset) and high (resolution/death) present</w:t>
            </w:r>
          </w:p>
        </w:tc>
      </w:tr>
      <w:tr>
        <w:tc>
          <w:tcPr>
            <w:tcW w:type="dxa" w:w="32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Batch UUIDs</w:t>
            </w:r>
          </w:p>
        </w:tc>
        <w:tc>
          <w:tcPr>
            <w:tcW w:type="dxa" w:w="6160"/>
            <w:gridSpan w:val="1"/>
            <w:tcBorders>
              <w:top w:val="single" w:color="C0C0C0" w:sz="1"/>
              <w:left w:val="single" w:color="C0C0C0" w:sz="1"/>
              <w:bottom w:val="single" w:color="C0C0C0" w:sz="1"/>
              <w:right w:val="single" w:color="C0C0C0" w:sz="1"/>
            </w:tcBorders>
            <w:shd w:fill="C8F5D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Unique per file — no collision across T01/T02/T05</w:t>
            </w:r>
          </w:p>
        </w:tc>
      </w:tr>
      <w:tr>
        <w:tc>
          <w:tcPr>
            <w:tcW w:type="dxa" w:w="32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Case IDs</w:t>
            </w:r>
          </w:p>
        </w:tc>
        <w:tc>
          <w:tcPr>
            <w:tcW w:type="dxa" w:w="6160"/>
            <w:gridSpan w:val="1"/>
            <w:tcBorders>
              <w:top w:val="single" w:color="C0C0C0" w:sz="1"/>
              <w:left w:val="single" w:color="C0C0C0" w:sz="1"/>
              <w:bottom w:val="single" w:color="C0C0C0" w:sz="1"/>
              <w:right w:val="single" w:color="C0C0C0"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Distinct CASE- identifiers across T01 and T02</w:t>
            </w:r>
          </w:p>
        </w:tc>
      </w:tr>
      <w:tr>
        <w:tc>
          <w:tcPr>
            <w:tcW w:type="dxa" w:w="32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Patient demographics</w:t>
            </w:r>
          </w:p>
        </w:tc>
        <w:tc>
          <w:tcPr>
            <w:tcW w:type="dxa" w:w="6160"/>
            <w:gridSpan w:val="1"/>
            <w:tcBorders>
              <w:top w:val="single" w:color="C0C0C0" w:sz="1"/>
              <w:left w:val="single" w:color="C0C0C0" w:sz="1"/>
              <w:bottom w:val="single" w:color="C0C0C0" w:sz="1"/>
              <w:right w:val="single" w:color="C0C0C0" w:sz="1"/>
            </w:tcBorders>
            <w:shd w:fill="C8F5D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T01/T02 differ — isolation confirmed</w:t>
            </w:r>
          </w:p>
        </w:tc>
      </w:tr>
    </w:tbl>
    <w:p>
      <w:pPr>
        <w:spacing w:after="100" w:before="100"/>
      </w:pPr>
      <w:r>
        <w:t xml:space="preserve"/>
      </w:r>
    </w:p>
    <w:p>
      <w:pPr>
        <w:pBdr>
          <w:bottom w:val="single" w:color="BDC3C7" w:sz="4" w:space="1"/>
        </w:pBdr>
        <w:spacing w:after="120" w:before="120"/>
      </w:pPr>
      <w:r>
        <w:t xml:space="preserve"/>
      </w:r>
    </w:p>
    <w:p>
      <w:pPr>
        <w:pStyle w:val="Heading1"/>
        <w:spacing w:after="120" w:before="360"/>
      </w:pPr>
      <w:r>
        <w:rPr>
          <w:rFonts w:ascii="Arial" w:cs="Arial" w:eastAsia="Arial" w:hAnsi="Arial"/>
          <w:b/>
          <w:bCs/>
          <w:color w:val="1A5276"/>
          <w:sz w:val="28"/>
          <w:szCs w:val="28"/>
        </w:rPr>
        <w:t xml:space="preserve">7. Code Fix Reference for XML Generator</w:t>
      </w:r>
    </w:p>
    <w:p>
      <w:pPr>
        <w:spacing w:after="60" w:before="60"/>
      </w:pPr>
      <w:r>
        <w:rPr>
          <w:rFonts w:ascii="Arial" w:cs="Arial" w:eastAsia="Arial" w:hAnsi="Arial"/>
          <w:sz w:val="20"/>
          <w:szCs w:val="20"/>
        </w:rPr>
        <w:t xml:space="preserve">Quick-reference table for the engineering team. The XML generator must distinguish postmarket vs. IND submission type and apply the correct values for the following attributes: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Attribute</w:t>
            </w:r>
          </w:p>
        </w:tc>
        <w:tc>
          <w:tcPr>
            <w:tcW w:type="dxa" w:w="656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28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bCs/>
                <w:color w:val="000000"/>
                <w:sz w:val="18"/>
                <w:szCs w:val="18"/>
              </w:rPr>
              <w:t xml:space="preserve">XML generator module</w:t>
            </w:r>
          </w:p>
        </w:tc>
        <w:tc>
          <w:tcPr>
            <w:tcW w:type="dxa" w:w="656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Wherever the MCCI_IN200100UV01 wrapper (batch envelope) is assembled</w:t>
            </w:r>
          </w:p>
        </w:tc>
      </w:tr>
      <w:tr>
        <w:tc>
          <w:tcPr>
            <w:tcW w:type="dxa" w:w="28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Batch receiver OID</w:t>
            </w:r>
          </w:p>
        </w:tc>
        <w:tc>
          <w:tcPr>
            <w:tcW w:type="dxa" w:w="656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OID root 2.16.840.1.113883.3.989.2.1.3.14</w:t>
            </w:r>
          </w:p>
        </w:tc>
      </w:tr>
      <w:tr>
        <w:tc>
          <w:tcPr>
            <w:tcW w:type="dxa" w:w="28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Postmarket value</w:t>
            </w:r>
          </w:p>
        </w:tc>
        <w:tc>
          <w:tcPr>
            <w:tcW w:type="dxa" w:w="656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ZZFDATST — correct for postmarket test</w:t>
            </w:r>
          </w:p>
        </w:tc>
      </w:tr>
      <w:tr>
        <w:tc>
          <w:tcPr>
            <w:tcW w:type="dxa" w:w="28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Premarket value (required)</w:t>
            </w:r>
          </w:p>
        </w:tc>
        <w:tc>
          <w:tcPr>
            <w:tcW w:type="dxa" w:w="656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ZZFDA_PREMKT — correct for premarket test</w:t>
            </w:r>
          </w:p>
        </w:tc>
      </w:tr>
      <w:tr>
        <w:tc>
          <w:tcPr>
            <w:tcW w:type="dxa" w:w="28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Premarket prod (future)</w:t>
            </w:r>
          </w:p>
        </w:tc>
        <w:tc>
          <w:tcPr>
            <w:tcW w:type="dxa" w:w="656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ZZFDA_PREMKT (same value, no _TST suffix for production)</w:t>
            </w:r>
          </w:p>
        </w:tc>
      </w:tr>
      <w:tr>
        <w:tc>
          <w:tcPr>
            <w:tcW w:type="dxa" w:w="28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Version ID OID</w:t>
            </w:r>
          </w:p>
        </w:tc>
        <w:tc>
          <w:tcPr>
            <w:tcW w:type="dxa" w:w="656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OID root 2.16.840.1.113883.3.989.2.1.3.4 on investigationEvent</w:t>
            </w:r>
          </w:p>
        </w:tc>
      </w:tr>
      <w:tr>
        <w:tc>
          <w:tcPr>
            <w:tcW w:type="dxa" w:w="28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Initial report value</w:t>
            </w:r>
          </w:p>
        </w:tc>
        <w:tc>
          <w:tcPr>
            <w:tcW w:type="dxa" w:w="656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extension="2"</w:t>
            </w:r>
          </w:p>
        </w:tc>
      </w:tr>
      <w:tr>
        <w:tc>
          <w:tcPr>
            <w:tcW w:type="dxa" w:w="28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Follow-up report value</w:t>
            </w:r>
          </w:p>
        </w:tc>
        <w:tc>
          <w:tcPr>
            <w:tcW w:type="dxa" w:w="656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extension="3" (amendment/follow-up only)</w:t>
            </w:r>
          </w:p>
        </w:tc>
      </w:tr>
      <w:tr>
        <w:tc>
          <w:tcPr>
            <w:tcW w:type="dxa" w:w="28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Sender secondary ID OID</w:t>
            </w:r>
          </w:p>
        </w:tc>
        <w:tc>
          <w:tcPr>
            <w:tcW w:type="dxa" w:w="656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2.16.840.1.113883.3.989.2.1.3.12 extension="1" (add to sender block)</w:t>
            </w:r>
          </w:p>
        </w:tc>
      </w:tr>
    </w:tbl>
    <w:p>
      <w:pPr>
        <w:spacing w:after="100" w:before="100"/>
      </w:pPr>
      <w:r>
        <w:t xml:space="preserve"/>
      </w:r>
    </w:p>
    <w:p>
      <w:pPr>
        <w:spacing w:after="60" w:before="60"/>
      </w:pPr>
      <w:r>
        <w:rPr>
          <w:rFonts w:ascii="Arial" w:cs="Arial" w:eastAsia="Arial" w:hAnsi="Arial"/>
          <w:b/>
          <w:bCs/>
          <w:sz w:val="20"/>
          <w:szCs w:val="20"/>
        </w:rPr>
        <w:t xml:space="preserve">Logic pseudocode for batch receiver selection:</w:t>
      </w:r>
    </w:p>
    <w:p>
      <w:pPr>
        <w:spacing w:after="40" w:before="40"/>
        <w:ind w:left="720"/>
      </w:pPr>
      <w:r>
        <w:rPr>
          <w:rFonts w:ascii="Courier New" w:cs="Courier New" w:eastAsia="Courier New" w:hAnsi="Courier New"/>
          <w:color w:val="8B0000"/>
          <w:sz w:val="18"/>
          <w:szCs w:val="18"/>
        </w:rPr>
        <w:t xml:space="preserve">if (submissionType === 'IND' || reportType === 'SUSAR') {</w:t>
      </w:r>
    </w:p>
    <w:p>
      <w:pPr>
        <w:spacing w:after="40" w:before="40"/>
        <w:ind w:left="720"/>
      </w:pPr>
      <w:r>
        <w:rPr>
          <w:rFonts w:ascii="Courier New" w:cs="Courier New" w:eastAsia="Courier New" w:hAnsi="Courier New"/>
          <w:color w:val="8B0000"/>
          <w:sz w:val="18"/>
          <w:szCs w:val="18"/>
        </w:rPr>
        <w:t xml:space="preserve">    batchReceiver = 'ZZFDA_PREMKT';   // premarket test</w:t>
      </w:r>
    </w:p>
    <w:p>
      <w:pPr>
        <w:spacing w:after="40" w:before="40"/>
        <w:ind w:left="720"/>
      </w:pPr>
      <w:r>
        <w:rPr>
          <w:rFonts w:ascii="Courier New" w:cs="Courier New" w:eastAsia="Courier New" w:hAnsi="Courier New"/>
          <w:color w:val="8B0000"/>
          <w:sz w:val="18"/>
          <w:szCs w:val="18"/>
        </w:rPr>
        <w:t xml:space="preserve">    // batchReceiver = 'ZZFDA_PREMKT'; // premarket production (same value)</w:t>
      </w:r>
    </w:p>
    <w:p>
      <w:pPr>
        <w:spacing w:after="40" w:before="40"/>
        <w:ind w:left="720"/>
      </w:pPr>
      <w:r>
        <w:rPr>
          <w:rFonts w:ascii="Courier New" w:cs="Courier New" w:eastAsia="Courier New" w:hAnsi="Courier New"/>
          <w:color w:val="8B0000"/>
          <w:sz w:val="18"/>
          <w:szCs w:val="18"/>
        </w:rPr>
        <w:t xml:space="preserve">} else {</w:t>
      </w:r>
    </w:p>
    <w:p>
      <w:pPr>
        <w:spacing w:after="40" w:before="40"/>
        <w:ind w:left="720"/>
      </w:pPr>
      <w:r>
        <w:rPr>
          <w:rFonts w:ascii="Courier New" w:cs="Courier New" w:eastAsia="Courier New" w:hAnsi="Courier New"/>
          <w:color w:val="8B0000"/>
          <w:sz w:val="18"/>
          <w:szCs w:val="18"/>
        </w:rPr>
        <w:t xml:space="preserve">    batchReceiver = 'ZZFDATST';        // postmarket test</w:t>
      </w:r>
    </w:p>
    <w:p>
      <w:pPr>
        <w:spacing w:after="40" w:before="40"/>
        <w:ind w:left="720"/>
      </w:pPr>
      <w:r>
        <w:rPr>
          <w:rFonts w:ascii="Courier New" w:cs="Courier New" w:eastAsia="Courier New" w:hAnsi="Courier New"/>
          <w:color w:val="8B0000"/>
          <w:sz w:val="18"/>
          <w:szCs w:val="18"/>
        </w:rPr>
        <w:t xml:space="preserve">    // batchReceiver = 'ZZFDA';         // postmarket production</w:t>
      </w:r>
    </w:p>
    <w:p>
      <w:pPr>
        <w:spacing w:after="40" w:before="40"/>
        <w:ind w:left="720"/>
      </w:pPr>
      <w:r>
        <w:rPr>
          <w:rFonts w:ascii="Courier New" w:cs="Courier New" w:eastAsia="Courier New" w:hAnsi="Courier New"/>
          <w:color w:val="8B0000"/>
          <w:sz w:val="18"/>
          <w:szCs w:val="18"/>
        </w:rPr>
        <w:t xml:space="preserve">}</w:t>
      </w:r>
    </w:p>
    <w:p>
      <w:pPr>
        <w:spacing w:after="100" w:before="100"/>
      </w:pPr>
      <w:r>
        <w:t xml:space="preserve"/>
      </w:r>
    </w:p>
    <w:p>
      <w:pPr>
        <w:spacing w:after="60" w:before="60"/>
      </w:pPr>
      <w:r>
        <w:rPr>
          <w:rFonts w:ascii="Arial" w:cs="Arial" w:eastAsia="Arial" w:hAnsi="Arial"/>
          <w:b/>
          <w:bCs/>
          <w:sz w:val="20"/>
          <w:szCs w:val="20"/>
        </w:rPr>
        <w:t xml:space="preserve">Logic pseudocode for version extension:</w:t>
      </w:r>
    </w:p>
    <w:p>
      <w:pPr>
        <w:spacing w:after="40" w:before="40"/>
        <w:ind w:left="720"/>
      </w:pPr>
      <w:r>
        <w:rPr>
          <w:rFonts w:ascii="Courier New" w:cs="Courier New" w:eastAsia="Courier New" w:hAnsi="Courier New"/>
          <w:color w:val="8B0000"/>
          <w:sz w:val="18"/>
          <w:szCs w:val="18"/>
        </w:rPr>
        <w:t xml:space="preserve">if (isInitialReport) {</w:t>
      </w:r>
    </w:p>
    <w:p>
      <w:pPr>
        <w:spacing w:after="40" w:before="40"/>
        <w:ind w:left="720"/>
      </w:pPr>
      <w:r>
        <w:rPr>
          <w:rFonts w:ascii="Courier New" w:cs="Courier New" w:eastAsia="Courier New" w:hAnsi="Courier New"/>
          <w:color w:val="8B0000"/>
          <w:sz w:val="18"/>
          <w:szCs w:val="18"/>
        </w:rPr>
        <w:t xml:space="preserve">    versionExtension = '2';   // always for new submissions</w:t>
      </w:r>
    </w:p>
    <w:p>
      <w:pPr>
        <w:spacing w:after="40" w:before="40"/>
        <w:ind w:left="720"/>
      </w:pPr>
      <w:r>
        <w:rPr>
          <w:rFonts w:ascii="Courier New" w:cs="Courier New" w:eastAsia="Courier New" w:hAnsi="Courier New"/>
          <w:color w:val="8B0000"/>
          <w:sz w:val="18"/>
          <w:szCs w:val="18"/>
        </w:rPr>
        <w:t xml:space="preserve">} else {</w:t>
      </w:r>
    </w:p>
    <w:p>
      <w:pPr>
        <w:spacing w:after="40" w:before="40"/>
        <w:ind w:left="720"/>
      </w:pPr>
      <w:r>
        <w:rPr>
          <w:rFonts w:ascii="Courier New" w:cs="Courier New" w:eastAsia="Courier New" w:hAnsi="Courier New"/>
          <w:color w:val="8B0000"/>
          <w:sz w:val="18"/>
          <w:szCs w:val="18"/>
        </w:rPr>
        <w:t xml:space="preserve">    versionExtension = String(priorVersion + 1);  // increment from prior ACK</w:t>
      </w:r>
    </w:p>
    <w:p>
      <w:pPr>
        <w:spacing w:after="40" w:before="40"/>
        <w:ind w:left="720"/>
      </w:pPr>
      <w:r>
        <w:rPr>
          <w:rFonts w:ascii="Courier New" w:cs="Courier New" w:eastAsia="Courier New" w:hAnsi="Courier New"/>
          <w:color w:val="8B0000"/>
          <w:sz w:val="18"/>
          <w:szCs w:val="18"/>
        </w:rPr>
        <w:t xml:space="preserve">}</w:t>
      </w:r>
    </w:p>
    <w:p>
      <w:pPr>
        <w:spacing w:after="100" w:before="100"/>
      </w:pPr>
      <w:r>
        <w:t xml:space="preserve"/>
      </w:r>
    </w:p>
    <w:p>
      <w:pPr>
        <w:pBdr>
          <w:bottom w:val="single" w:color="BDC3C7" w:sz="4" w:space="1"/>
        </w:pBdr>
        <w:spacing w:after="120" w:before="120"/>
      </w:pPr>
      <w:r>
        <w:t xml:space="preserve"/>
      </w:r>
    </w:p>
    <w:p>
      <w:pPr>
        <w:pStyle w:val="Heading1"/>
        <w:spacing w:after="120" w:before="360"/>
      </w:pPr>
      <w:r>
        <w:rPr>
          <w:rFonts w:ascii="Arial" w:cs="Arial" w:eastAsia="Arial" w:hAnsi="Arial"/>
          <w:b/>
          <w:bCs/>
          <w:color w:val="1A5276"/>
          <w:sz w:val="28"/>
          <w:szCs w:val="28"/>
        </w:rPr>
        <w:t xml:space="preserve">8. Pre-Submission Checklist</w:t>
      </w:r>
    </w:p>
    <w:p>
      <w:pPr>
        <w:spacing w:after="60" w:before="60"/>
      </w:pPr>
      <w:r>
        <w:rPr>
          <w:rFonts w:ascii="Arial" w:cs="Arial" w:eastAsia="Arial" w:hAnsi="Arial"/>
          <w:sz w:val="20"/>
          <w:szCs w:val="20"/>
        </w:rPr>
        <w:t xml:space="preserve">Complete all BLOCKING items before submitting to the FDA gateway. Non-blocking items are recommended but optional for initial test: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c>
          <w:tcPr>
            <w:tcW w:type="dxa" w:w="6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
            </w:r>
          </w:p>
        </w:tc>
        <w:tc>
          <w:tcPr>
            <w:tcW w:type="dxa" w:w="556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Check</w:t>
            </w:r>
          </w:p>
        </w:tc>
        <w:tc>
          <w:tcPr>
            <w:tcW w:type="dxa" w:w="16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16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r>
      <w:tr>
        <w:tc>
          <w:tcPr>
            <w:tcW w:type="dxa" w:w="6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556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batch receiver: ZZFDATST_PREMKT → ZZFDA_PREMKT in all 3 files</w:t>
            </w:r>
          </w:p>
        </w:tc>
        <w:tc>
          <w:tcPr>
            <w:tcW w:type="dxa" w:w="16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Pending</w:t>
            </w:r>
          </w:p>
        </w:tc>
        <w:tc>
          <w:tcPr>
            <w:tcW w:type="dxa" w:w="16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bCs/>
                <w:color w:val="C0392B"/>
                <w:sz w:val="18"/>
                <w:szCs w:val="18"/>
              </w:rPr>
              <w:t xml:space="preserve">BLOCKING</w:t>
            </w:r>
          </w:p>
        </w:tc>
      </w:tr>
      <w:tr>
        <w:tc>
          <w:tcPr>
            <w:tcW w:type="dxa" w:w="6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556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version extension: "3" → "2" in all 3 files</w:t>
            </w:r>
          </w:p>
        </w:tc>
        <w:tc>
          <w:tcPr>
            <w:tcW w:type="dxa" w:w="16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Pending</w:t>
            </w:r>
          </w:p>
        </w:tc>
        <w:tc>
          <w:tcPr>
            <w:tcW w:type="dxa" w:w="1600"/>
            <w:gridSpan w:val="1"/>
            <w:tcBorders>
              <w:top w:val="single" w:color="C0C0C0" w:sz="1"/>
              <w:left w:val="single" w:color="C0C0C0" w:sz="1"/>
              <w:bottom w:val="single" w:color="C0C0C0" w:sz="1"/>
              <w:right w:val="single" w:color="C0C0C0" w:sz="1"/>
            </w:tcBorders>
            <w:shd w:fill="FADBD8" w:val="clear"/>
            <w:tcMar>
              <w:top w:type="dxa" w:w="80"/>
              <w:left w:type="dxa" w:w="120"/>
              <w:bottom w:type="dxa" w:w="80"/>
              <w:right w:type="dxa" w:w="120"/>
            </w:tcMar>
          </w:tcPr>
          <w:p>
            <w:pPr>
              <w:jc w:val="left"/>
            </w:pPr>
            <w:r>
              <w:rPr>
                <w:rFonts w:ascii="Arial" w:cs="Arial" w:eastAsia="Arial" w:hAnsi="Arial"/>
                <w:b/>
                <w:bCs/>
                <w:color w:val="C0392B"/>
                <w:sz w:val="18"/>
                <w:szCs w:val="18"/>
              </w:rPr>
              <w:t xml:space="preserve">BLOCKING</w:t>
            </w:r>
          </w:p>
        </w:tc>
      </w:tr>
      <w:tr>
        <w:tc>
          <w:tcPr>
            <w:tcW w:type="dxa" w:w="6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556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sender OID .3.12 extension="1" in all 3 files</w:t>
            </w:r>
          </w:p>
        </w:tc>
        <w:tc>
          <w:tcPr>
            <w:tcW w:type="dxa" w:w="16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Optional</w:t>
            </w:r>
          </w:p>
        </w:tc>
        <w:tc>
          <w:tcPr>
            <w:tcW w:type="dxa" w:w="16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left"/>
            </w:pPr>
            <w:r>
              <w:rPr>
                <w:rFonts w:ascii="Arial" w:cs="Arial" w:eastAsia="Arial" w:hAnsi="Arial"/>
                <w:b/>
                <w:bCs/>
                <w:color w:val="D4AC0D"/>
                <w:sz w:val="18"/>
                <w:szCs w:val="18"/>
              </w:rPr>
              <w:t xml:space="preserve">LOW</w:t>
            </w:r>
          </w:p>
        </w:tc>
      </w:tr>
      <w:tr>
        <w:tc>
          <w:tcPr>
            <w:tcW w:type="dxa" w:w="6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556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Decide: leave code="7" (accept risk) or swap to code="1" in T05</w:t>
            </w:r>
          </w:p>
        </w:tc>
        <w:tc>
          <w:tcPr>
            <w:tcW w:type="dxa" w:w="16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Optional</w:t>
            </w:r>
          </w:p>
        </w:tc>
        <w:tc>
          <w:tcPr>
            <w:tcW w:type="dxa" w:w="1600"/>
            <w:gridSpan w:val="1"/>
            <w:tcBorders>
              <w:top w:val="single" w:color="C0C0C0" w:sz="1"/>
              <w:left w:val="single" w:color="C0C0C0" w:sz="1"/>
              <w:bottom w:val="single" w:color="C0C0C0" w:sz="1"/>
              <w:right w:val="single" w:color="C0C0C0" w:sz="1"/>
            </w:tcBorders>
            <w:shd w:fill="FEF9E7" w:val="clear"/>
            <w:tcMar>
              <w:top w:type="dxa" w:w="80"/>
              <w:left w:type="dxa" w:w="120"/>
              <w:bottom w:type="dxa" w:w="80"/>
              <w:right w:type="dxa" w:w="120"/>
            </w:tcMar>
          </w:tcPr>
          <w:p>
            <w:pPr>
              <w:jc w:val="left"/>
            </w:pPr>
            <w:r>
              <w:rPr>
                <w:rFonts w:ascii="Arial" w:cs="Arial" w:eastAsia="Arial" w:hAnsi="Arial"/>
                <w:b/>
                <w:bCs/>
                <w:color w:val="1A5276"/>
                <w:sz w:val="18"/>
                <w:szCs w:val="18"/>
              </w:rPr>
              <w:t xml:space="preserve">INFO</w:t>
            </w:r>
          </w:p>
        </w:tc>
      </w:tr>
      <w:tr>
        <w:tc>
          <w:tcPr>
            <w:tcW w:type="dxa" w:w="600"/>
            <w:gridSpan w:val="1"/>
            <w:tcBorders>
              <w:top w:val="single" w:color="C0C0C0" w:sz="1"/>
              <w:left w:val="single" w:color="C0C0C0" w:sz="1"/>
              <w:bottom w:val="single" w:color="C0C0C0" w:sz="1"/>
              <w:right w:val="single" w:color="C0C0C0" w:sz="1"/>
            </w:tcBorders>
            <w:shd w:fill="D6EA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5560"/>
            <w:gridSpan w:val="1"/>
            <w:tcBorders>
              <w:top w:val="single" w:color="C0C0C0" w:sz="1"/>
              <w:left w:val="single" w:color="C0C0C0" w:sz="1"/>
              <w:bottom w:val="single" w:color="C0C0C0" w:sz="1"/>
              <w:right w:val="single" w:color="C0C0C0" w:sz="1"/>
            </w:tcBorders>
            <w:shd w:fill="D6EA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Submit T01 first — observe ACK before submitting T02 and T05</w:t>
            </w:r>
          </w:p>
        </w:tc>
        <w:tc>
          <w:tcPr>
            <w:tcW w:type="dxa" w:w="1600"/>
            <w:gridSpan w:val="1"/>
            <w:tcBorders>
              <w:top w:val="single" w:color="C0C0C0" w:sz="1"/>
              <w:left w:val="single" w:color="C0C0C0" w:sz="1"/>
              <w:bottom w:val="single" w:color="C0C0C0" w:sz="1"/>
              <w:right w:val="single" w:color="C0C0C0" w:sz="1"/>
            </w:tcBorders>
            <w:shd w:fill="D6EAF8"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Pending</w:t>
            </w:r>
          </w:p>
        </w:tc>
        <w:tc>
          <w:tcPr>
            <w:tcW w:type="dxa" w:w="1600"/>
            <w:gridSpan w:val="1"/>
            <w:tcBorders>
              <w:top w:val="single" w:color="C0C0C0" w:sz="1"/>
              <w:left w:val="single" w:color="C0C0C0" w:sz="1"/>
              <w:bottom w:val="single" w:color="C0C0C0" w:sz="1"/>
              <w:right w:val="single" w:color="C0C0C0" w:sz="1"/>
            </w:tcBorders>
            <w:shd w:fill="D6EAF8" w:val="clear"/>
            <w:tcMar>
              <w:top w:type="dxa" w:w="80"/>
              <w:left w:type="dxa" w:w="120"/>
              <w:bottom w:type="dxa" w:w="80"/>
              <w:right w:type="dxa" w:w="120"/>
            </w:tcMar>
          </w:tcPr>
          <w:p>
            <w:pPr>
              <w:jc w:val="left"/>
            </w:pPr>
            <w:r>
              <w:rPr>
                <w:rFonts w:ascii="Arial" w:cs="Arial" w:eastAsia="Arial" w:hAnsi="Arial"/>
                <w:b/>
                <w:bCs/>
                <w:color w:val="1A5276"/>
                <w:sz w:val="18"/>
                <w:szCs w:val="18"/>
              </w:rPr>
              <w:t xml:space="preserve">PROCESS</w:t>
            </w:r>
          </w:p>
        </w:tc>
      </w:tr>
      <w:tr>
        <w:tc>
          <w:tcPr>
            <w:tcW w:type="dxa" w:w="600"/>
            <w:gridSpan w:val="1"/>
            <w:tcBorders>
              <w:top w:val="single" w:color="C0C0C0" w:sz="1"/>
              <w:left w:val="single" w:color="C0C0C0" w:sz="1"/>
              <w:bottom w:val="single" w:color="C0C0C0" w:sz="1"/>
              <w:right w:val="single" w:color="C0C0C0" w:sz="1"/>
            </w:tcBorders>
            <w:shd w:fill="D6EA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5560"/>
            <w:gridSpan w:val="1"/>
            <w:tcBorders>
              <w:top w:val="single" w:color="C0C0C0" w:sz="1"/>
              <w:left w:val="single" w:color="C0C0C0" w:sz="1"/>
              <w:bottom w:val="single" w:color="C0C0C0" w:sz="1"/>
              <w:right w:val="single" w:color="C0C0C0" w:sz="1"/>
            </w:tcBorders>
            <w:shd w:fill="D6EA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Confirm CDER_IND ACK processing (AA = accepted, AR = rejected)</w:t>
            </w:r>
          </w:p>
        </w:tc>
        <w:tc>
          <w:tcPr>
            <w:tcW w:type="dxa" w:w="1600"/>
            <w:gridSpan w:val="1"/>
            <w:tcBorders>
              <w:top w:val="single" w:color="C0C0C0" w:sz="1"/>
              <w:left w:val="single" w:color="C0C0C0" w:sz="1"/>
              <w:bottom w:val="single" w:color="C0C0C0" w:sz="1"/>
              <w:right w:val="single" w:color="C0C0C0" w:sz="1"/>
            </w:tcBorders>
            <w:shd w:fill="D6EAF8"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Pending</w:t>
            </w:r>
          </w:p>
        </w:tc>
        <w:tc>
          <w:tcPr>
            <w:tcW w:type="dxa" w:w="1600"/>
            <w:gridSpan w:val="1"/>
            <w:tcBorders>
              <w:top w:val="single" w:color="C0C0C0" w:sz="1"/>
              <w:left w:val="single" w:color="C0C0C0" w:sz="1"/>
              <w:bottom w:val="single" w:color="C0C0C0" w:sz="1"/>
              <w:right w:val="single" w:color="C0C0C0" w:sz="1"/>
            </w:tcBorders>
            <w:shd w:fill="D6EAF8" w:val="clear"/>
            <w:tcMar>
              <w:top w:type="dxa" w:w="80"/>
              <w:left w:type="dxa" w:w="120"/>
              <w:bottom w:type="dxa" w:w="80"/>
              <w:right w:type="dxa" w:w="120"/>
            </w:tcMar>
          </w:tcPr>
          <w:p>
            <w:pPr>
              <w:jc w:val="left"/>
            </w:pPr>
            <w:r>
              <w:rPr>
                <w:rFonts w:ascii="Arial" w:cs="Arial" w:eastAsia="Arial" w:hAnsi="Arial"/>
                <w:b/>
                <w:bCs/>
                <w:color w:val="1A5276"/>
                <w:sz w:val="18"/>
                <w:szCs w:val="18"/>
              </w:rPr>
              <w:t xml:space="preserve">PROCESS</w:t>
            </w:r>
          </w:p>
        </w:tc>
      </w:tr>
    </w:tbl>
    <w:p>
      <w:pPr>
        <w:spacing w:after="100" w:before="100"/>
      </w:pPr>
      <w:r>
        <w:t xml:space="preserve"/>
      </w:r>
    </w:p>
    <w:p>
      <w:pPr>
        <w:pBdr>
          <w:bottom w:val="single" w:color="BDC3C7" w:sz="4" w:space="1"/>
        </w:pBdr>
        <w:spacing w:after="120" w:before="120"/>
      </w:pPr>
      <w:r>
        <w:t xml:space="preserve"/>
      </w:r>
    </w:p>
    <w:p>
      <w:pPr>
        <w:pStyle w:val="Heading1"/>
        <w:spacing w:after="120" w:before="360"/>
      </w:pPr>
      <w:r>
        <w:rPr>
          <w:rFonts w:ascii="Arial" w:cs="Arial" w:eastAsia="Arial" w:hAnsi="Arial"/>
          <w:b/>
          <w:bCs/>
          <w:color w:val="1A5276"/>
          <w:sz w:val="28"/>
          <w:szCs w:val="28"/>
        </w:rPr>
        <w:t xml:space="preserve">9. Key OID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OID</w:t>
            </w:r>
          </w:p>
        </w:tc>
        <w:tc>
          <w:tcPr>
            <w:tcW w:type="dxa" w:w="5560"/>
            <w:gridSpan w:val="1"/>
            <w:tcBorders>
              <w:top w:val="single" w:color="C0C0C0" w:sz="1"/>
              <w:left w:val="single" w:color="C0C0C0" w:sz="1"/>
              <w:bottom w:val="single" w:color="C0C0C0" w:sz="1"/>
              <w:right w:val="single" w:color="C0C0C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38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2.16.840.1.113883.3.989.2.1.3.14</w:t>
            </w:r>
          </w:p>
        </w:tc>
        <w:tc>
          <w:tcPr>
            <w:tcW w:type="dxa" w:w="556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Batch receiver gateway identifier</w:t>
            </w:r>
          </w:p>
        </w:tc>
      </w:tr>
      <w:tr>
        <w:tc>
          <w:tcPr>
            <w:tcW w:type="dxa" w:w="38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2.16.840.1.113883.3.989.2.1.3.4 (on investigationEvent)</w:t>
            </w:r>
          </w:p>
        </w:tc>
        <w:tc>
          <w:tcPr>
            <w:tcW w:type="dxa" w:w="556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Version / transmission sequence number</w:t>
            </w:r>
          </w:p>
        </w:tc>
      </w:tr>
      <w:tr>
        <w:tc>
          <w:tcPr>
            <w:tcW w:type="dxa" w:w="38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2.16.840.1.113883.3.989.2.1.3.12</w:t>
            </w:r>
          </w:p>
        </w:tc>
        <w:tc>
          <w:tcPr>
            <w:tcW w:type="dxa" w:w="556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Sender tier-2 registration ID</w:t>
            </w:r>
          </w:p>
        </w:tc>
      </w:tr>
      <w:tr>
        <w:tc>
          <w:tcPr>
            <w:tcW w:type="dxa" w:w="38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2.16.840.1.113883.3.989.2.1.3.11</w:t>
            </w:r>
          </w:p>
        </w:tc>
        <w:tc>
          <w:tcPr>
            <w:tcW w:type="dxa" w:w="556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Sender primary drug company ID</w:t>
            </w:r>
          </w:p>
        </w:tc>
      </w:tr>
      <w:tr>
        <w:tc>
          <w:tcPr>
            <w:tcW w:type="dxa" w:w="38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2.16.840.1.113883.3.989.2.1.3.13</w:t>
            </w:r>
          </w:p>
        </w:tc>
        <w:tc>
          <w:tcPr>
            <w:tcW w:type="dxa" w:w="556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Sender alternate company ID</w:t>
            </w:r>
          </w:p>
        </w:tc>
      </w:tr>
      <w:tr>
        <w:tc>
          <w:tcPr>
            <w:tcW w:type="dxa" w:w="38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1.3.6.1.4.1.519.1</w:t>
            </w:r>
          </w:p>
        </w:tc>
        <w:tc>
          <w:tcPr>
            <w:tcW w:type="dxa" w:w="556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Sender DUNS number</w:t>
            </w:r>
          </w:p>
        </w:tc>
      </w:tr>
      <w:tr>
        <w:tc>
          <w:tcPr>
            <w:tcW w:type="dxa" w:w="38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2.16.840.1.113883.3.989.5.1.2.2.1.2.1</w:t>
            </w:r>
          </w:p>
        </w:tc>
        <w:tc>
          <w:tcPr>
            <w:tcW w:type="dxa" w:w="556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 number (FDA.C.5.5a) in researchStudy</w:t>
            </w:r>
          </w:p>
        </w:tc>
      </w:tr>
      <w:tr>
        <w:tc>
          <w:tcPr>
            <w:tcW w:type="dxa" w:w="380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2.16.840.1.113883.3.989.2.1.3.4 (on approval)</w:t>
            </w:r>
          </w:p>
        </w:tc>
        <w:tc>
          <w:tcPr>
            <w:tcW w:type="dxa" w:w="5560"/>
            <w:gridSpan w:val="1"/>
            <w:tcBorders>
              <w:top w:val="single" w:color="C0C0C0" w:sz="1"/>
              <w:left w:val="single" w:color="C0C0C0" w:sz="1"/>
              <w:bottom w:val="single" w:color="C0C0C0" w:sz="1"/>
              <w:right w:val="single" w:color="C0C0C0"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Drug authorization type — IND number on drug</w:t>
            </w:r>
          </w:p>
        </w:tc>
      </w:tr>
      <w:tr>
        <w:tc>
          <w:tcPr>
            <w:tcW w:type="dxa" w:w="380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2.16.840.1.113883.3.989.2.1.3.12 (on PORR receiver)</w:t>
            </w:r>
          </w:p>
        </w:tc>
        <w:tc>
          <w:tcPr>
            <w:tcW w:type="dxa" w:w="5560"/>
            <w:gridSpan w:val="1"/>
            <w:tcBorders>
              <w:top w:val="single" w:color="C0C0C0" w:sz="1"/>
              <w:left w:val="single" w:color="C0C0C0" w:sz="1"/>
              <w:bottom w:val="single" w:color="C0C0C0" w:sz="1"/>
              <w:right w:val="single" w:color="C0C0C0" w:sz="1"/>
            </w:tcBorders>
            <w:shd w:fill="FDFEF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PORR message receiver (CDER_IND for premarket)</w:t>
            </w:r>
          </w:p>
        </w:tc>
      </w:tr>
    </w:tbl>
    <w:p>
      <w:pPr>
        <w:spacing w:after="100" w:before="100"/>
      </w:pPr>
      <w:r>
        <w:t xml:space="preserve"/>
      </w:r>
    </w:p>
    <w:p>
      <w:pPr>
        <w:pBdr>
          <w:bottom w:val="single" w:color="BDC3C7" w:sz="4" w:space="1"/>
        </w:pBdr>
        <w:spacing w:after="120" w:before="120"/>
      </w:pPr>
      <w:r>
        <w:t xml:space="preserve"/>
      </w:r>
    </w:p>
    <w:p>
      <w:pPr>
        <w:spacing w:after="0" w:before="200"/>
        <w:jc w:val="center"/>
      </w:pPr>
      <w:r>
        <w:rPr>
          <w:rFonts w:ascii="Arial" w:cs="Arial" w:eastAsia="Arial" w:hAnsi="Arial"/>
          <w:i/>
          <w:iCs/>
          <w:color w:val="AAAAAA"/>
          <w:sz w:val="16"/>
          <w:szCs w:val="16"/>
        </w:rPr>
        <w:t xml:space="preserve">DeepQuence PV System  |  Internal Engineering Use Only  |  Not for 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tabs>
        <w:tab w:val="right" w:pos="9360"/>
      </w:tabs>
    </w:pPr>
    <w:r>
      <w:rPr>
        <w:rFonts w:ascii="Arial" w:cs="Arial" w:eastAsia="Arial" w:hAnsi="Arial"/>
        <w:color w:val="1A5276"/>
        <w:sz w:val="16"/>
        <w:szCs w:val="16"/>
      </w:rPr>
      <w:t xml:space="preserve">DeepQuence PV System  |  IND SUSAR XML Gap Analysis  |  CONFIDENTIAL</w:t>
    </w:r>
    <w:r>
      <w:rPr>
        <w:rFonts w:ascii="Arial" w:cs="Arial" w:eastAsia="Arial" w:hAnsi="Arial"/>
        <w:color w:val="888888"/>
        <w:sz w:val="16"/>
        <w:szCs w:val="16"/>
      </w:rPr>
      <w:t xml:space="preserve">	April 24,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4057"/>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2026-04-24T21:47:42.742Z</dcterms:created>
  <dcterms:modified xsi:type="dcterms:W3CDTF">2026-04-24T21:47:42.745Z</dcterms:modified>
</cp:coreProperties>
</file>

<file path=docProps/custom.xml><?xml version="1.0" encoding="utf-8"?>
<Properties xmlns="http://schemas.openxmlformats.org/officeDocument/2006/custom-properties" xmlns:vt="http://schemas.openxmlformats.org/officeDocument/2006/docPropsVTypes"/>
</file>