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sz w:val="4"/>
          <w:szCs w:val="4"/>
        </w:rPr>
        <w:t xml:space="preserve"/>
      </w:r>
    </w:p>
    <w:p>
      <w:pPr>
        <w:shd w:fill="1F3864" w:val="clear"/>
        <w:spacing w:after="60" w:before="200"/>
        <w:jc w:val="center"/>
      </w:pPr>
      <w:r>
        <w:rPr>
          <w:rFonts w:ascii="Arial" w:cs="Arial" w:eastAsia="Arial" w:hAnsi="Arial"/>
          <w:b/>
          <w:bCs/>
          <w:color w:val="FFFFFF"/>
          <w:sz w:val="40"/>
          <w:szCs w:val="40"/>
        </w:rPr>
        <w:t xml:space="preserve">FAERS XML Package Validation Report</w:t>
      </w:r>
    </w:p>
    <w:p>
      <w:pPr>
        <w:shd w:fill="1F3864" w:val="clear"/>
        <w:spacing w:after="0" w:before="0"/>
        <w:jc w:val="center"/>
      </w:pPr>
      <w:r>
        <w:rPr>
          <w:rFonts w:ascii="Arial" w:cs="Arial" w:eastAsia="Arial" w:hAnsi="Arial"/>
          <w:color w:val="D5E8F0"/>
          <w:sz w:val="22"/>
          <w:szCs w:val="22"/>
        </w:rPr>
        <w:t xml:space="preserve">CASE-20260411-4YZ5.xml  •  Validated Against v37 Golden Reference</w:t>
      </w:r>
    </w:p>
    <w:p>
      <w:pPr>
        <w:shd w:fill="1F3864" w:val="clear"/>
        <w:spacing w:after="200" w:before="60"/>
        <w:jc w:val="center"/>
      </w:pPr>
      <w:r>
        <w:rPr>
          <w:rFonts w:ascii="Arial" w:cs="Arial" w:eastAsia="Arial" w:hAnsi="Arial"/>
          <w:color w:val="A9C4E4"/>
          <w:sz w:val="18"/>
          <w:szCs w:val="18"/>
        </w:rPr>
        <w:t xml:space="preserve">DeepQuence  |  DUNS 334818134  |  CDER FAERS AERS TEST  |  2026-04-11</w:t>
      </w:r>
    </w:p>
    <w:p>
      <w:pPr>
        <w:shd w:fill="1F3864" w:val="clear"/>
        <w:spacing w:after="0" w:before="0"/>
      </w:pPr>
      <w:r>
        <w:rPr>
          <w:sz w:val="4"/>
          <w:szCs w:val="4"/>
        </w:rPr>
        <w:t xml:space="preserve"/>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1"/>
              <w:left w:val="single" w:color="2E75B6" w:sz="1"/>
              <w:bottom w:val="single" w:color="2E75B6" w:sz="1"/>
              <w:right w:val="single" w:color="2E75B6" w:sz="1"/>
            </w:tcBorders>
            <w:shd w:fill="DEEAF1" w:val="clear"/>
            <w:tcMar>
              <w:top w:type="dxa" w:w="160"/>
              <w:left w:type="dxa" w:w="240"/>
              <w:bottom w:type="dxa" w:w="160"/>
              <w:right w:type="dxa" w:w="240"/>
            </w:tcMar>
          </w:tcPr>
          <w:p>
            <w:pPr>
              <w:spacing w:after="60" w:before="0"/>
            </w:pPr>
            <w:r>
              <w:rPr>
                <w:rFonts w:ascii="Arial" w:cs="Arial" w:eastAsia="Arial" w:hAnsi="Arial"/>
                <w:b/>
                <w:bCs/>
                <w:color w:val="1F3864"/>
                <w:sz w:val="22"/>
                <w:szCs w:val="22"/>
              </w:rPr>
              <w:t xml:space="preserve">OVERALL VERDICT</w:t>
            </w:r>
          </w:p>
          <w:p>
            <w:pPr>
              <w:spacing w:after="60" w:before="0"/>
            </w:pPr>
            <w:r>
              <w:rPr>
                <w:rFonts w:ascii="Arial" w:cs="Arial" w:eastAsia="Arial" w:hAnsi="Arial"/>
                <w:b/>
                <w:bCs/>
                <w:sz w:val="20"/>
                <w:szCs w:val="20"/>
              </w:rPr>
              <w:t xml:space="preserve">Lint: </w:t>
            </w:r>
            <w:r>
              <w:rPr>
                <w:rFonts w:ascii="Arial" w:cs="Arial" w:eastAsia="Arial" w:hAnsi="Arial"/>
                <w:color w:val="375623"/>
                <w:sz w:val="20"/>
                <w:szCs w:val="20"/>
              </w:rPr>
              <w:t xml:space="preserve">55 ✅ PASS  |  0 ❌ FAIL  |  0 ⚠️ WARN</w:t>
            </w:r>
          </w:p>
          <w:p>
            <w:pPr>
              <w:spacing w:after="60" w:before="0"/>
            </w:pPr>
            <w:r>
              <w:rPr>
                <w:rFonts w:ascii="Arial" w:cs="Arial" w:eastAsia="Arial" w:hAnsi="Arial"/>
                <w:b/>
                <w:bCs/>
                <w:sz w:val="20"/>
                <w:szCs w:val="20"/>
              </w:rPr>
              <w:t xml:space="preserve">Structure: </w:t>
            </w:r>
            <w:r>
              <w:rPr>
                <w:rFonts w:ascii="Arial" w:cs="Arial" w:eastAsia="Arial" w:hAnsi="Arial"/>
                <w:sz w:val="20"/>
                <w:szCs w:val="20"/>
              </w:rPr>
              <w:t xml:space="preserve">All v37 hard-won schema constraints correctly applied.</w:t>
            </w:r>
          </w:p>
          <w:p>
            <w:pPr>
              <w:spacing w:after="0" w:before="0"/>
            </w:pPr>
            <w:r>
              <w:rPr>
                <w:rFonts w:ascii="Arial" w:cs="Arial" w:eastAsia="Arial" w:hAnsi="Arial"/>
                <w:b/>
                <w:bCs/>
                <w:sz w:val="20"/>
                <w:szCs w:val="20"/>
              </w:rPr>
              <w:t xml:space="preserve">Readiness: </w:t>
            </w:r>
            <w:r>
              <w:rPr>
                <w:rFonts w:ascii="Arial" w:cs="Arial" w:eastAsia="Arial" w:hAnsi="Arial"/>
                <w:b/>
                <w:bCs/>
                <w:color w:val="C00000"/>
                <w:sz w:val="20"/>
                <w:szCs w:val="20"/>
              </w:rPr>
              <w:t xml:space="preserve">NOT READY TO SUBMIT. Three critical content errors will cause business-rule rejections.</w:t>
            </w:r>
          </w:p>
        </w:tc>
      </w:tr>
    </w:tbl>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1. Finding Summary</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780"/>
        <w:gridCol w:w="2400"/>
      </w:tblGrid>
      <w:tr>
        <w:trPr>
          <w:tblHeader/>
        </w:trP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Severity</w:t>
            </w:r>
          </w:p>
        </w:tc>
        <w:tc>
          <w:tcPr>
            <w:tcW w:type="dxa" w:w="47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Issue</w:t>
            </w:r>
          </w:p>
        </w:tc>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Fix Required</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1</w:t>
            </w:r>
          </w:p>
        </w:tc>
        <w:tc>
          <w:tcPr>
            <w:tcW w:type="dxa" w:w="2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  Critical</w:t>
            </w:r>
          </w:p>
        </w:tc>
        <w:tc>
          <w:tcPr>
            <w:tcW w:type="dxa" w:w="4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MedDRA codes are placeholder 00000000 on both reactions</w:t>
            </w:r>
          </w:p>
        </w:tc>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Use 10028813 (Nausea) and 10019675 (Hepatic enzyme increased)</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2</w:t>
            </w:r>
          </w:p>
        </w:tc>
        <w:tc>
          <w:tcPr>
            <w:tcW w:type="dxa" w:w="2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  Critical</w:t>
            </w:r>
          </w:p>
        </w:tc>
        <w:tc>
          <w:tcPr>
            <w:tcW w:type="dxa" w:w="4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Height &lt;value xsi:type="PQ" value="null"&gt; — literal string is invalid</w:t>
            </w:r>
          </w:p>
        </w:tc>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with nullFlavor="NI"; remove value and unit attributes</w:t>
            </w:r>
          </w:p>
        </w:tc>
      </w:tr>
      <w:tr>
        <w:tc>
          <w:tcPr>
            <w:tcW w:type="dxa" w:w="7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  Critical</w:t>
            </w:r>
          </w:p>
        </w:tc>
        <w:tc>
          <w:tcPr>
            <w:tcW w:type="dxa" w:w="47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Dechallenge and Rechallenge code="null" on 4 CE elements</w:t>
            </w:r>
          </w:p>
        </w:tc>
        <w:tc>
          <w:tcPr>
            <w:tcW w:type="dxa" w:w="2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each with &lt;value xsi:type="CE" nullFlavor="NI"/&gt;</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  Content</w:t>
            </w:r>
          </w:p>
        </w:tc>
        <w:tc>
          <w:tcPr>
            <w:tcW w:type="dxa" w:w="4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Reporter prefix "Mr" contradicts narrative "Dr. Jane Doe"</w:t>
            </w:r>
          </w:p>
        </w:tc>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Change &lt;prefix&gt;Mr&lt;/prefix&gt; to &lt;prefix&gt;Dr&lt;/prefix&gt;</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  Content</w:t>
            </w:r>
          </w:p>
        </w:tc>
        <w:tc>
          <w:tcPr>
            <w:tcW w:type="dxa" w:w="4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Both outer and inner org names are identical: City General Hospital</w:t>
            </w:r>
          </w:p>
        </w:tc>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Outer = department/function; inner = legal entity name</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  Content</w:t>
            </w:r>
          </w:p>
        </w:tc>
        <w:tc>
          <w:tcPr>
            <w:tcW w:type="dxa" w:w="4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Fax number +10000000000 is a placeholder</w:t>
            </w:r>
          </w:p>
        </w:tc>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with a real fax number</w:t>
            </w:r>
          </w:p>
        </w:tc>
      </w:tr>
      <w:tr>
        <w:tc>
          <w:tcPr>
            <w:tcW w:type="dxa" w:w="7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  Content</w:t>
            </w:r>
          </w:p>
        </w:tc>
        <w:tc>
          <w:tcPr>
            <w:tcW w:type="dxa" w:w="47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localCriteriaForExpedited=false but report type is 15-Day</w:t>
            </w:r>
          </w:p>
        </w:tc>
        <w:tc>
          <w:tcPr>
            <w:tcW w:type="dxa" w:w="2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Align with actual reporting intent (v37 uses true)</w:t>
            </w:r>
          </w:p>
        </w:tc>
      </w:tr>
      <w:tr>
        <w:tc>
          <w:tcPr>
            <w:tcW w:type="dxa" w:w="7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  Missing</w:t>
            </w:r>
          </w:p>
        </w:tc>
        <w:tc>
          <w:tcPr>
            <w:tcW w:type="dxa" w:w="47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Combination Product Report Indicator (C156384) component absent</w:t>
            </w:r>
          </w:p>
        </w:tc>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observationEvent component matching v37</w:t>
            </w:r>
          </w:p>
        </w:tc>
      </w:tr>
      <w:tr>
        <w:tc>
          <w:tcPr>
            <w:tcW w:type="dxa" w:w="7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  Missing</w:t>
            </w:r>
          </w:p>
        </w:tc>
        <w:tc>
          <w:tcPr>
            <w:tcW w:type="dxa" w:w="47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Age group observation (code=4) absent from primaryRole block</w:t>
            </w:r>
          </w:p>
        </w:tc>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subjectOf2/observation with code="4" and value CE code="5"</w:t>
            </w:r>
          </w:p>
        </w:tc>
      </w:tr>
      <w:tr>
        <w:tc>
          <w:tcPr>
            <w:tcW w:type="dxa" w:w="7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  Missing</w:t>
            </w:r>
          </w:p>
        </w:tc>
        <w:tc>
          <w:tcPr>
            <w:tcW w:type="dxa" w:w="47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requiredIntervention, Seriousness (C83121), Outcome (C49489) outboundRelationship2 absent per reaction</w:t>
            </w:r>
          </w:p>
        </w:tc>
        <w:tc>
          <w:tcPr>
            <w:tcW w:type="dxa" w:w="2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three outboundRelationship2 blocks per reaction to match v37</w:t>
            </w:r>
          </w:p>
        </w:tc>
      </w:tr>
    </w:tbl>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2. Lint Validation Results</w:t>
      </w:r>
    </w:p>
    <w:p>
      <w:pPr>
        <w:spacing w:after="80" w:before="60"/>
      </w:pPr>
      <w:r>
        <w:rPr>
          <w:rFonts w:ascii="Arial" w:cs="Arial" w:eastAsia="Arial" w:hAnsi="Arial"/>
          <w:sz w:val="20"/>
          <w:szCs w:val="20"/>
        </w:rPr>
        <w:t xml:space="preserve">The 55-check lint script (faers_xml_lint.py) was run against the package. All checks passed, confirming the v37 structural requirements are correctly applied.</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80"/>
      </w:tblGrid>
      <w:tr>
        <w:trPr>
          <w:tblHeader/>
        </w:trPr>
        <w:tc>
          <w:tcPr>
            <w:tcW w:type="dxa" w:w="16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Section</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Result</w:t>
            </w:r>
          </w:p>
        </w:tc>
        <w:tc>
          <w:tcPr>
            <w:tcW w:type="dxa" w:w="7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0: Well-formedness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55/55 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XML parses cleanly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 Root element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MCCI_IN200100UV01 root, correct schemaLocation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2: MCCI child order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id→creationTime→responseModeCode→interactionId→name→PORR→receiver→sender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3: Batch UUID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DeepQuenceTest-20260411-23a887af-e667-4d24-8183-a8270613abbd (unique)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4: Wrapper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displayName=ichicsr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5: Wrapper rcv/snd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Receiver=ZZFDATST (TEST routing), DUNS 334818134 present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6: PORR block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CDER receiver, processingModeCode=I</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7: inv. event order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No direct &lt;author&gt; child; reporter in subjectOf1 with OID .1.7; correct position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8: Reactions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2 reactions found; effectiveTime before value; MedDRA codeSystem present*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9: Patient demographics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Race (C17049) and Ethnicity (C16564) present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10: Drug indications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2 indications with MedDRA codes (Rheumatoid arthritis, Hypertension)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11: Reporter (C.3)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OID .1.7 confirmed; name/addr/tel/fax/org all present; nested org structure confirmed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12: D.7 medical history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historyAndConcurrentConditionText and concomitantTherapy present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13: ICH report 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investigationCharacteristic code=1 present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14: C.1.7 expedited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localCriteriaForExpedited (code 23) and localCriteriaReportType (C54588) present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Section 15: Uncoded CE values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PASS</w:t>
            </w:r>
          </w:p>
        </w:tc>
        <w:tc>
          <w:tcPr>
            <w:tcW w:type="dxa" w:w="7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No uncoded CE values detected</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color w:val="000000"/>
                <w:sz w:val="20"/>
                <w:szCs w:val="20"/>
              </w:rPr>
              <w:t xml:space="preserve">* Lint checks MedDRA codeSystem presence, not code value validity. The placeholder code 00000000 passes the lint check but will fail the FDA business-rule engine. See Finding #1.</w:t>
            </w:r>
          </w:p>
        </w:tc>
      </w:tr>
    </w:tbl>
    <w:p>
      <w:pPr>
        <w:spacing w:after="60" w:before="60"/>
      </w:pPr>
    </w:p>
    <w:p>
      <w:pPr>
        <w:spacing w:after="80" w:before="60"/>
      </w:pPr>
      <w:r>
        <w:rPr>
          <w:rFonts w:ascii="Arial" w:cs="Arial" w:eastAsia="Arial" w:hAnsi="Arial"/>
          <w:b/>
          <w:bCs/>
          <w:sz w:val="18"/>
          <w:szCs w:val="18"/>
        </w:rPr>
        <w:t xml:space="preserve">Lint detail note: </w:t>
      </w:r>
      <w:r>
        <w:rPr>
          <w:rFonts w:ascii="Arial" w:cs="Arial" w:eastAsia="Arial" w:hAnsi="Arial"/>
          <w:i/>
          <w:iCs/>
          <w:color w:val="595959"/>
          <w:sz w:val="18"/>
          <w:szCs w:val="18"/>
        </w:rPr>
        <w:t xml:space="preserve">Some PASS lines display what appear to be failure messages (e.g. “subjectof1 with OID .1.7 not found”). This is a known lint script design quirk — the detail string renders regardless of pass or fail outcome. The underlying checks are correct.</w:t>
      </w:r>
    </w:p>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3. Critical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after="0" w:before="0"/>
            </w:pPr>
            <w:r>
              <w:rPr>
                <w:rFonts w:ascii="Arial" w:cs="Arial" w:eastAsia="Arial" w:hAnsi="Arial"/>
                <w:color w:val="C00000"/>
                <w:sz w:val="20"/>
                <w:szCs w:val="20"/>
              </w:rPr>
              <w:t xml:space="preserve">The following three errors will cause a CE (case-level) rejection from the FDA CDER business-rule engine. Fix all three before submission.</w:t>
            </w:r>
          </w:p>
        </w:tc>
      </w:tr>
    </w:tbl>
    <w:p>
      <w:pPr>
        <w:spacing w:after="60" w:before="60"/>
      </w:pPr>
    </w:p>
    <w:p>
      <w:pPr>
        <w:pStyle w:val="Heading3"/>
        <w:spacing w:after="60" w:before="160"/>
      </w:pPr>
      <w:r>
        <w:rPr>
          <w:rFonts w:ascii="Arial" w:cs="Arial" w:eastAsia="Arial" w:hAnsi="Arial"/>
          <w:b/>
          <w:bCs/>
          <w:color w:val="2E75B6"/>
          <w:sz w:val="22"/>
          <w:szCs w:val="22"/>
        </w:rPr>
        <w:t xml:space="preserve">Finding 1 — Placeholder MedDRA Codes (Lines 109 and 161)</w:t>
      </w:r>
    </w:p>
    <w:p>
      <w:pPr>
        <w:spacing w:after="80" w:before="60"/>
      </w:pPr>
      <w:r>
        <w:rPr>
          <w:rFonts w:ascii="Arial" w:cs="Arial" w:eastAsia="Arial" w:hAnsi="Arial"/>
          <w:sz w:val="20"/>
          <w:szCs w:val="20"/>
        </w:rPr>
        <w:t xml:space="preserve">Both reaction observations carry the code value 00000000, which is not a valid MedDRA Preferred Term code. The FDA 2.18 business-rule engine validates reaction codes against the MedDRA dictionary. An invalid code causes a CE rejection on every reaction in the case.</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rPr>
          <w:tblHeader/>
        </w:trP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Reaction</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Current code</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Correct MedDRA PT</w:t>
            </w:r>
          </w:p>
        </w:tc>
        <w:tc>
          <w:tcPr>
            <w:tcW w:type="dxa" w:w="3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MedDRA display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Nausea (line 109)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00000000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10028813</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Nausea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Hepatic enzyme increased (line 161)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00000000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10019675</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Hepatic enzyme increased</w:t>
            </w:r>
          </w:p>
        </w:tc>
      </w:tr>
    </w:tbl>
    <w:p>
      <w:pPr>
        <w:spacing w:after="60" w:before="60"/>
      </w:pPr>
    </w:p>
    <w:p>
      <w:pPr>
        <w:pStyle w:val="Heading3"/>
        <w:spacing w:after="60" w:before="160"/>
      </w:pPr>
      <w:r>
        <w:rPr>
          <w:rFonts w:ascii="Arial" w:cs="Arial" w:eastAsia="Arial" w:hAnsi="Arial"/>
          <w:b/>
          <w:bCs/>
          <w:color w:val="2E75B6"/>
          <w:sz w:val="22"/>
          <w:szCs w:val="22"/>
        </w:rPr>
        <w:t xml:space="preserve">Finding 2 — Invalid Height PQ Value (Line 69)</w:t>
      </w:r>
    </w:p>
    <w:p>
      <w:pPr>
        <w:spacing w:after="80" w:before="60"/>
      </w:pPr>
      <w:r>
        <w:rPr>
          <w:rFonts w:ascii="Arial" w:cs="Arial" w:eastAsia="Arial" w:hAnsi="Arial"/>
          <w:sz w:val="20"/>
          <w:szCs w:val="20"/>
        </w:rPr>
        <w:t xml:space="preserve">The Height observation carries value="null" on a PQ (Physical Quantity) type. The string "null" is not a valid number. A PQ element must carry either a real numeric value with a unit, or a nullFlavor attribute with no value/unit attributes.</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0" w:before="0"/>
            </w:pPr>
            <w:r>
              <w:rPr>
                <w:rFonts w:ascii="Courier New" w:cs="Courier New" w:eastAsia="Courier New" w:hAnsi="Courier New"/>
                <w:color w:val="1F3864"/>
                <w:sz w:val="17"/>
                <w:szCs w:val="17"/>
              </w:rPr>
              <w:t xml:space="preserve">&lt;!-- CURRENT — INVALID --&gt;</w:t>
            </w:r>
          </w:p>
          <w:p>
            <w:pPr>
              <w:spacing w:after="0" w:before="0"/>
            </w:pPr>
            <w:r>
              <w:rPr>
                <w:rFonts w:ascii="Courier New" w:cs="Courier New" w:eastAsia="Courier New" w:hAnsi="Courier New"/>
                <w:color w:val="1F3864"/>
                <w:sz w:val="17"/>
                <w:szCs w:val="17"/>
              </w:rPr>
              <w:t xml:space="preserve">&lt;value xsi:type="PQ" value="null" unit="cm"/&gt;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&lt;!-- CORRECT — use nullFlavor when the value is unknown --&gt;</w:t>
            </w:r>
          </w:p>
          <w:p>
            <w:pPr>
              <w:spacing w:after="0" w:before="0"/>
            </w:pPr>
            <w:r>
              <w:rPr>
                <w:rFonts w:ascii="Courier New" w:cs="Courier New" w:eastAsia="Courier New" w:hAnsi="Courier New"/>
                <w:color w:val="1F3864"/>
                <w:sz w:val="17"/>
                <w:szCs w:val="17"/>
              </w:rPr>
              <w:t xml:space="preserve">&lt;value xsi:type="PQ" nullFlavor="NI"/&gt;</w:t>
            </w:r>
          </w:p>
        </w:tc>
      </w:tr>
    </w:tbl>
    <w:p>
      <w:pPr>
        <w:spacing w:after="60" w:before="60"/>
      </w:pPr>
    </w:p>
    <w:p>
      <w:pPr>
        <w:pStyle w:val="Heading3"/>
        <w:spacing w:after="60" w:before="160"/>
      </w:pPr>
      <w:r>
        <w:rPr>
          <w:rFonts w:ascii="Arial" w:cs="Arial" w:eastAsia="Arial" w:hAnsi="Arial"/>
          <w:b/>
          <w:bCs/>
          <w:color w:val="2E75B6"/>
          <w:sz w:val="22"/>
          <w:szCs w:val="22"/>
        </w:rPr>
        <w:t xml:space="preserve">Finding 3 — Literal "null" String as CE Codes (Lines 237, 243, 280, 286)</w:t>
      </w:r>
    </w:p>
    <w:p>
      <w:pPr>
        <w:spacing w:after="80" w:before="60"/>
      </w:pPr>
      <w:r>
        <w:rPr>
          <w:rFonts w:ascii="Arial" w:cs="Arial" w:eastAsia="Arial" w:hAnsi="Arial"/>
          <w:sz w:val="20"/>
          <w:szCs w:val="20"/>
        </w:rPr>
        <w:t xml:space="preserve">Four CE value elements across two drug records carry code="null". This applies to both Dechallenge and Rechallenge observations for the suspect drug (Testdrugimab) and the concomitant drug (Lisinopril). A coded element must use a valid code or be expressed with nullFlavor.</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0" w:before="0"/>
            </w:pPr>
            <w:r>
              <w:rPr>
                <w:rFonts w:ascii="Courier New" w:cs="Courier New" w:eastAsia="Courier New" w:hAnsi="Courier New"/>
                <w:color w:val="1F3864"/>
                <w:sz w:val="17"/>
                <w:szCs w:val="17"/>
              </w:rPr>
              <w:t xml:space="preserve">&lt;!-- CURRENT — INVALID (4 occurrences) --&gt;</w:t>
            </w:r>
          </w:p>
          <w:p>
            <w:pPr>
              <w:spacing w:after="0" w:before="0"/>
            </w:pPr>
            <w:r>
              <w:rPr>
                <w:rFonts w:ascii="Courier New" w:cs="Courier New" w:eastAsia="Courier New" w:hAnsi="Courier New"/>
                <w:color w:val="1F3864"/>
                <w:sz w:val="17"/>
                <w:szCs w:val="17"/>
              </w:rPr>
              <w:t xml:space="preserve">&lt;value xsi:type="CE" code="null" codeSystem="2.16.840.1.113883.3.989.2.1.1.16"/&gt;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&lt;!-- CORRECT --&gt;</w:t>
            </w:r>
          </w:p>
          <w:p>
            <w:pPr>
              <w:spacing w:after="0" w:before="0"/>
            </w:pPr>
            <w:r>
              <w:rPr>
                <w:rFonts w:ascii="Courier New" w:cs="Courier New" w:eastAsia="Courier New" w:hAnsi="Courier New"/>
                <w:color w:val="1F3864"/>
                <w:sz w:val="17"/>
                <w:szCs w:val="17"/>
              </w:rPr>
              <w:t xml:space="preserve">&lt;value xsi:type="CE" nullFlavor="NI"/&gt;</w:t>
            </w:r>
          </w:p>
        </w:tc>
      </w:tr>
    </w:tbl>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4. Content Findings</w:t>
      </w:r>
    </w:p>
    <w:p>
      <w:pPr>
        <w:spacing w:after="80" w:before="60"/>
      </w:pPr>
      <w:r>
        <w:rPr>
          <w:rFonts w:ascii="Arial" w:cs="Arial" w:eastAsia="Arial" w:hAnsi="Arial"/>
          <w:sz w:val="20"/>
          <w:szCs w:val="20"/>
        </w:rPr>
        <w:t xml:space="preserve">The following issues are data quality or logical inconsistencies. They may or may not trigger a business-rule rejection depending on the FDA engine version, but they create inaccurate or misleading case data.</w:t>
      </w:r>
    </w:p>
    <w:p>
      <w:pPr>
        <w:spacing w:after="60" w:before="60"/>
      </w:pPr>
    </w:p>
    <w:p>
      <w:pPr>
        <w:pStyle w:val="Heading3"/>
        <w:spacing w:after="60" w:before="160"/>
      </w:pPr>
      <w:r>
        <w:rPr>
          <w:rFonts w:ascii="Arial" w:cs="Arial" w:eastAsia="Arial" w:hAnsi="Arial"/>
          <w:b/>
          <w:bCs/>
          <w:color w:val="2E75B6"/>
          <w:sz w:val="22"/>
          <w:szCs w:val="22"/>
        </w:rPr>
        <w:t xml:space="preserve">Finding 4 — Reporter Title Prefix Mismatch (Line 362)</w:t>
      </w:r>
    </w:p>
    <w:p>
      <w:pPr>
        <w:spacing w:after="80" w:before="60"/>
      </w:pPr>
      <w:r>
        <w:rPr>
          <w:rFonts w:ascii="Arial" w:cs="Arial" w:eastAsia="Arial" w:hAnsi="Arial"/>
          <w:sz w:val="20"/>
          <w:szCs w:val="20"/>
        </w:rPr>
        <w:t xml:space="preserve">The reporter block carries </w:t>
      </w:r>
      <w:r>
        <w:rPr>
          <w:rFonts w:ascii="Courier New" w:cs="Courier New" w:eastAsia="Courier New" w:hAnsi="Courier New"/>
          <w:color w:val="7030A0"/>
          <w:sz w:val="18"/>
          <w:szCs w:val="18"/>
        </w:rPr>
        <w:t xml:space="preserve">&lt;prefix&gt;Mr&lt;/prefix&gt;</w:t>
      </w:r>
      <w:r>
        <w:rPr>
          <w:rFonts w:ascii="Arial" w:cs="Arial" w:eastAsia="Arial" w:hAnsi="Arial"/>
          <w:sz w:val="20"/>
          <w:szCs w:val="20"/>
        </w:rPr>
        <w:t xml:space="preserve"> but the case narrative on line 306 explicitly names the reporter as </w:t>
      </w:r>
      <w:r>
        <w:rPr>
          <w:rFonts w:ascii="Arial" w:cs="Arial" w:eastAsia="Arial" w:hAnsi="Arial"/>
          <w:i/>
          <w:iCs/>
          <w:sz w:val="20"/>
          <w:szCs w:val="20"/>
        </w:rPr>
        <w:t xml:space="preserve">“Dr. Jane Doe”</w:t>
      </w:r>
      <w:r>
        <w:rPr>
          <w:rFonts w:ascii="Arial" w:cs="Arial" w:eastAsia="Arial" w:hAnsi="Arial"/>
          <w:sz w:val="20"/>
          <w:szCs w:val="20"/>
        </w:rPr>
        <w:t xml:space="preserve">. The prefix must match. Change to </w:t>
      </w:r>
      <w:r>
        <w:rPr>
          <w:rFonts w:ascii="Courier New" w:cs="Courier New" w:eastAsia="Courier New" w:hAnsi="Courier New"/>
          <w:color w:val="7030A0"/>
          <w:sz w:val="18"/>
          <w:szCs w:val="18"/>
        </w:rPr>
        <w:t xml:space="preserve">&lt;prefix&gt;Dr&lt;/prefix&gt;</w:t>
      </w:r>
      <w:r>
        <w:rPr>
          <w:rFonts w:ascii="Arial" w:cs="Arial" w:eastAsia="Arial" w:hAnsi="Arial"/>
          <w:sz w:val="20"/>
          <w:szCs w:val="20"/>
        </w:rPr>
        <w:t xml:space="preserve">.</w:t>
      </w:r>
    </w:p>
    <w:p>
      <w:pPr>
        <w:spacing w:after="60" w:before="60"/>
      </w:pPr>
    </w:p>
    <w:p>
      <w:pPr>
        <w:pStyle w:val="Heading3"/>
        <w:spacing w:after="60" w:before="160"/>
      </w:pPr>
      <w:r>
        <w:rPr>
          <w:rFonts w:ascii="Arial" w:cs="Arial" w:eastAsia="Arial" w:hAnsi="Arial"/>
          <w:b/>
          <w:bCs/>
          <w:color w:val="2E75B6"/>
          <w:sz w:val="22"/>
          <w:szCs w:val="22"/>
        </w:rPr>
        <w:t xml:space="preserve">Finding 5 — Nested Org Both Levels Share the Same Name (Lines 372–378)</w:t>
      </w:r>
    </w:p>
    <w:p>
      <w:pPr>
        <w:spacing w:after="80" w:before="60"/>
      </w:pPr>
      <w:r>
        <w:rPr>
          <w:rFonts w:ascii="Arial" w:cs="Arial" w:eastAsia="Arial" w:hAnsi="Arial"/>
          <w:sz w:val="20"/>
          <w:szCs w:val="20"/>
        </w:rPr>
        <w:t xml:space="preserve">The nested representedOrganization structure is correctly present (this is the sole confirmed fix for C.3.2). However, both the outer organisation name and the inner organisation name are identically set to "City General Hospital". Per the v37 pattern, the outer name should represent the department or functional unit (e.g. Drug Safety, Clinical Safety), and the inner name the legal company entity. Using identical names does not provide meaningful C.3.3.5 differentiation.</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0" w:before="0"/>
            </w:pPr>
            <w:r>
              <w:rPr>
                <w:rFonts w:ascii="Courier New" w:cs="Courier New" w:eastAsia="Courier New" w:hAnsi="Courier New"/>
                <w:color w:val="1F3864"/>
                <w:sz w:val="17"/>
                <w:szCs w:val="17"/>
              </w:rPr>
              <w:t xml:space="preserve">&lt;!-- CURRENT — both levels identical --&gt;</w:t>
            </w:r>
          </w:p>
          <w:p>
            <w:pPr>
              <w:spacing w:after="0" w:before="0"/>
            </w:pPr>
            <w:r>
              <w:rPr>
                <w:rFonts w:ascii="Courier New" w:cs="Courier New" w:eastAsia="Courier New" w:hAnsi="Courier New"/>
                <w:color w:val="1F3864"/>
                <w:sz w:val="17"/>
                <w:szCs w:val="17"/>
              </w:rPr>
              <w:t xml:space="preserve">&lt;representedOrganization classCode="ORG" determinerCode="INSTANCE"&gt;</w:t>
            </w:r>
          </w:p>
          <w:p>
            <w:pPr>
              <w:spacing w:after="0" w:before="0"/>
            </w:pPr>
            <w:r>
              <w:rPr>
                <w:rFonts w:ascii="Courier New" w:cs="Courier New" w:eastAsia="Courier New" w:hAnsi="Courier New"/>
                <w:color w:val="1F3864"/>
                <w:sz w:val="17"/>
                <w:szCs w:val="17"/>
              </w:rPr>
              <w:t xml:space="preserve">  &lt;name&gt;City General Hospital&lt;/name&gt;       ← outer (dept/unit)</w:t>
            </w:r>
          </w:p>
          <w:p>
            <w:pPr>
              <w:spacing w:after="0" w:before="0"/>
            </w:pPr>
            <w:r>
              <w:rPr>
                <w:rFonts w:ascii="Courier New" w:cs="Courier New" w:eastAsia="Courier New" w:hAnsi="Courier New"/>
                <w:color w:val="1F3864"/>
                <w:sz w:val="17"/>
                <w:szCs w:val="17"/>
              </w:rPr>
              <w:t xml:space="preserve">  &lt;assignedEntity classCode="ASSIGNED"&gt;</w:t>
            </w:r>
          </w:p>
          <w:p>
            <w:pPr>
              <w:spacing w:after="0" w:before="0"/>
            </w:pPr>
            <w:r>
              <w:rPr>
                <w:rFonts w:ascii="Courier New" w:cs="Courier New" w:eastAsia="Courier New" w:hAnsi="Courier New"/>
                <w:color w:val="1F3864"/>
                <w:sz w:val="17"/>
                <w:szCs w:val="17"/>
              </w:rPr>
              <w:t xml:space="preserve">    &lt;representedOrganization classCode="ORG" determinerCode="INSTANCE"&gt;</w:t>
            </w:r>
          </w:p>
          <w:p>
            <w:pPr>
              <w:spacing w:after="0" w:before="0"/>
            </w:pPr>
            <w:r>
              <w:rPr>
                <w:rFonts w:ascii="Courier New" w:cs="Courier New" w:eastAsia="Courier New" w:hAnsi="Courier New"/>
                <w:color w:val="1F3864"/>
                <w:sz w:val="17"/>
                <w:szCs w:val="17"/>
              </w:rPr>
              <w:t xml:space="preserve">      &lt;name&gt;City General Hospital&lt;/name&gt;   ← inner (company)</w:t>
            </w:r>
          </w:p>
          <w:p>
            <w:pPr>
              <w:spacing w:after="0" w:before="0"/>
            </w:pPr>
            <w:r>
              <w:rPr>
                <w:rFonts w:ascii="Courier New" w:cs="Courier New" w:eastAsia="Courier New" w:hAnsi="Courier New"/>
                <w:color w:val="1F3864"/>
                <w:sz w:val="17"/>
                <w:szCs w:val="17"/>
              </w:rPr>
              <w:t xml:space="preserve">    &lt;/representedOrganization&gt;</w:t>
            </w:r>
          </w:p>
          <w:p>
            <w:pPr>
              <w:spacing w:after="0" w:before="0"/>
            </w:pPr>
            <w:r>
              <w:rPr>
                <w:rFonts w:ascii="Courier New" w:cs="Courier New" w:eastAsia="Courier New" w:hAnsi="Courier New"/>
                <w:color w:val="1F3864"/>
                <w:sz w:val="17"/>
                <w:szCs w:val="17"/>
              </w:rPr>
              <w:t xml:space="preserve">  &lt;/assignedEntity&gt;</w:t>
            </w:r>
          </w:p>
          <w:p>
            <w:pPr>
              <w:spacing w:after="0" w:before="0"/>
            </w:pPr>
            <w:r>
              <w:rPr>
                <w:rFonts w:ascii="Courier New" w:cs="Courier New" w:eastAsia="Courier New" w:hAnsi="Courier New"/>
                <w:color w:val="1F3864"/>
                <w:sz w:val="17"/>
                <w:szCs w:val="17"/>
              </w:rPr>
              <w:t xml:space="preserve">&lt;/representedOrganization&gt;</w:t>
            </w:r>
          </w:p>
          <w:p>
            <w:pPr>
              <w:spacing w:after="0" w:before="0"/>
            </w:pPr>
            <w:r>
              <w:rPr>
                <w:rFonts w:ascii="Courier New" w:cs="Courier New" w:eastAsia="Courier New" w:hAnsi="Courier New"/>
                <w:color w:val="1F3864"/>
                <w:sz w:val="17"/>
                <w:szCs w:val="17"/>
              </w:rPr>
              <w:t xml:space="preserve"/>
            </w:r>
          </w:p>
          <w:p>
            <w:pPr>
              <w:spacing w:after="0" w:before="0"/>
            </w:pPr>
            <w:r>
              <w:rPr>
                <w:rFonts w:ascii="Courier New" w:cs="Courier New" w:eastAsia="Courier New" w:hAnsi="Courier New"/>
                <w:color w:val="1F3864"/>
                <w:sz w:val="17"/>
                <w:szCs w:val="17"/>
              </w:rPr>
              <w:t xml:space="preserve">&lt;!-- CORRECT — outer = department, inner = company --&gt;</w:t>
            </w:r>
          </w:p>
          <w:p>
            <w:pPr>
              <w:spacing w:after="0" w:before="0"/>
            </w:pPr>
            <w:r>
              <w:rPr>
                <w:rFonts w:ascii="Courier New" w:cs="Courier New" w:eastAsia="Courier New" w:hAnsi="Courier New"/>
                <w:color w:val="1F3864"/>
                <w:sz w:val="17"/>
                <w:szCs w:val="17"/>
              </w:rPr>
              <w:t xml:space="preserve">&lt;representedOrganization classCode="ORG" determinerCode="INSTANCE"&gt;</w:t>
            </w:r>
          </w:p>
          <w:p>
            <w:pPr>
              <w:spacing w:after="0" w:before="0"/>
            </w:pPr>
            <w:r>
              <w:rPr>
                <w:rFonts w:ascii="Courier New" w:cs="Courier New" w:eastAsia="Courier New" w:hAnsi="Courier New"/>
                <w:color w:val="1F3864"/>
                <w:sz w:val="17"/>
                <w:szCs w:val="17"/>
              </w:rPr>
              <w:t xml:space="preserve">  &lt;name&gt;Drug Safety&lt;/name&gt;</w:t>
            </w:r>
          </w:p>
          <w:p>
            <w:pPr>
              <w:spacing w:after="0" w:before="0"/>
            </w:pPr>
            <w:r>
              <w:rPr>
                <w:rFonts w:ascii="Courier New" w:cs="Courier New" w:eastAsia="Courier New" w:hAnsi="Courier New"/>
                <w:color w:val="1F3864"/>
                <w:sz w:val="17"/>
                <w:szCs w:val="17"/>
              </w:rPr>
              <w:t xml:space="preserve">  &lt;assignedEntity classCode="ASSIGNED"&gt;</w:t>
            </w:r>
          </w:p>
          <w:p>
            <w:pPr>
              <w:spacing w:after="0" w:before="0"/>
            </w:pPr>
            <w:r>
              <w:rPr>
                <w:rFonts w:ascii="Courier New" w:cs="Courier New" w:eastAsia="Courier New" w:hAnsi="Courier New"/>
                <w:color w:val="1F3864"/>
                <w:sz w:val="17"/>
                <w:szCs w:val="17"/>
              </w:rPr>
              <w:t xml:space="preserve">    &lt;representedOrganization classCode="ORG" determinerCode="INSTANCE"&gt;</w:t>
            </w:r>
          </w:p>
          <w:p>
            <w:pPr>
              <w:spacing w:after="0" w:before="0"/>
            </w:pPr>
            <w:r>
              <w:rPr>
                <w:rFonts w:ascii="Courier New" w:cs="Courier New" w:eastAsia="Courier New" w:hAnsi="Courier New"/>
                <w:color w:val="1F3864"/>
                <w:sz w:val="17"/>
                <w:szCs w:val="17"/>
              </w:rPr>
              <w:t xml:space="preserve">      &lt;name&gt;City General Hospital&lt;/name&gt;</w:t>
            </w:r>
          </w:p>
          <w:p>
            <w:pPr>
              <w:spacing w:after="0" w:before="0"/>
            </w:pPr>
            <w:r>
              <w:rPr>
                <w:rFonts w:ascii="Courier New" w:cs="Courier New" w:eastAsia="Courier New" w:hAnsi="Courier New"/>
                <w:color w:val="1F3864"/>
                <w:sz w:val="17"/>
                <w:szCs w:val="17"/>
              </w:rPr>
              <w:t xml:space="preserve">    &lt;/representedOrganization&gt;</w:t>
            </w:r>
          </w:p>
          <w:p>
            <w:pPr>
              <w:spacing w:after="0" w:before="0"/>
            </w:pPr>
            <w:r>
              <w:rPr>
                <w:rFonts w:ascii="Courier New" w:cs="Courier New" w:eastAsia="Courier New" w:hAnsi="Courier New"/>
                <w:color w:val="1F3864"/>
                <w:sz w:val="17"/>
                <w:szCs w:val="17"/>
              </w:rPr>
              <w:t xml:space="preserve">  &lt;/assignedEntity&gt;</w:t>
            </w:r>
          </w:p>
          <w:p>
            <w:pPr>
              <w:spacing w:after="0" w:before="0"/>
            </w:pPr>
            <w:r>
              <w:rPr>
                <w:rFonts w:ascii="Courier New" w:cs="Courier New" w:eastAsia="Courier New" w:hAnsi="Courier New"/>
                <w:color w:val="1F3864"/>
                <w:sz w:val="17"/>
                <w:szCs w:val="17"/>
              </w:rPr>
              <w:t xml:space="preserve">&lt;/representedOrganization&gt;</w:t>
            </w:r>
          </w:p>
        </w:tc>
      </w:tr>
    </w:tbl>
    <w:p>
      <w:pPr>
        <w:spacing w:after="60" w:before="60"/>
      </w:pPr>
    </w:p>
    <w:p>
      <w:pPr>
        <w:pStyle w:val="Heading3"/>
        <w:spacing w:after="60" w:before="160"/>
      </w:pPr>
      <w:r>
        <w:rPr>
          <w:rFonts w:ascii="Arial" w:cs="Arial" w:eastAsia="Arial" w:hAnsi="Arial"/>
          <w:b/>
          <w:bCs/>
          <w:color w:val="2E75B6"/>
          <w:sz w:val="22"/>
          <w:szCs w:val="22"/>
        </w:rPr>
        <w:t xml:space="preserve">Finding 6 — Fax Number Is a Placeholder (Line 358)</w:t>
      </w:r>
    </w:p>
    <w:p>
      <w:pPr>
        <w:spacing w:after="80" w:before="60"/>
      </w:pPr>
      <w:r>
        <w:rPr>
          <w:rFonts w:ascii="Arial" w:cs="Arial" w:eastAsia="Arial" w:hAnsi="Arial"/>
          <w:sz w:val="20"/>
          <w:szCs w:val="20"/>
        </w:rPr>
        <w:t xml:space="preserve">The fax telecom value is </w:t>
      </w:r>
      <w:r>
        <w:rPr>
          <w:rFonts w:ascii="Courier New" w:cs="Courier New" w:eastAsia="Courier New" w:hAnsi="Courier New"/>
          <w:color w:val="7030A0"/>
          <w:sz w:val="18"/>
          <w:szCs w:val="18"/>
        </w:rPr>
        <w:t xml:space="preserve">fax:+10000000000</w:t>
      </w:r>
      <w:r>
        <w:rPr>
          <w:rFonts w:ascii="Arial" w:cs="Arial" w:eastAsia="Arial" w:hAnsi="Arial"/>
          <w:sz w:val="20"/>
          <w:szCs w:val="20"/>
        </w:rPr>
        <w:t xml:space="preserve">, which is clearly a placeholder. A valid fax number is required. Its absence in v29 was the root cause of the C.3.4.7 rejection. Replace with the reporter’s actual fax number.</w:t>
      </w:r>
    </w:p>
    <w:p>
      <w:pPr>
        <w:spacing w:after="60" w:before="60"/>
      </w:pPr>
    </w:p>
    <w:p>
      <w:pPr>
        <w:pStyle w:val="Heading3"/>
        <w:spacing w:after="60" w:before="160"/>
      </w:pPr>
      <w:r>
        <w:rPr>
          <w:rFonts w:ascii="Arial" w:cs="Arial" w:eastAsia="Arial" w:hAnsi="Arial"/>
          <w:b/>
          <w:bCs/>
          <w:color w:val="2E75B6"/>
          <w:sz w:val="22"/>
          <w:szCs w:val="22"/>
        </w:rPr>
        <w:t xml:space="preserve">Finding 7 — Expedited Criteria Flag Inconsistency (Lines 322–329)</w:t>
      </w:r>
    </w:p>
    <w:p>
      <w:pPr>
        <w:spacing w:after="80" w:before="60"/>
      </w:pPr>
      <w:r>
        <w:rPr>
          <w:rFonts w:ascii="Arial" w:cs="Arial" w:eastAsia="Arial" w:hAnsi="Arial"/>
          <w:sz w:val="20"/>
          <w:szCs w:val="20"/>
        </w:rPr>
        <w:t xml:space="preserve">localCriteriaForExpedited is set to </w:t>
      </w:r>
      <w:r>
        <w:rPr>
          <w:rFonts w:ascii="Courier New" w:cs="Courier New" w:eastAsia="Courier New" w:hAnsi="Courier New"/>
          <w:color w:val="7030A0"/>
          <w:sz w:val="18"/>
          <w:szCs w:val="18"/>
        </w:rPr>
        <w:t xml:space="preserve">false</w:t>
      </w:r>
      <w:r>
        <w:rPr>
          <w:rFonts w:ascii="Arial" w:cs="Arial" w:eastAsia="Arial" w:hAnsi="Arial"/>
          <w:sz w:val="20"/>
          <w:szCs w:val="20"/>
        </w:rPr>
        <w:t xml:space="preserve"> but localCriteriaReportType specifies </w:t>
      </w:r>
      <w:r>
        <w:rPr>
          <w:rFonts w:ascii="Courier New" w:cs="Courier New" w:eastAsia="Courier New" w:hAnsi="Courier New"/>
          <w:color w:val="7030A0"/>
          <w:sz w:val="18"/>
          <w:szCs w:val="18"/>
        </w:rPr>
        <w:t xml:space="preserve">15-Day</w:t>
      </w:r>
      <w:r>
        <w:rPr>
          <w:rFonts w:ascii="Arial" w:cs="Arial" w:eastAsia="Arial" w:hAnsi="Arial"/>
          <w:sz w:val="20"/>
          <w:szCs w:val="20"/>
        </w:rPr>
        <w:t xml:space="preserve">. These are logically contradictory. If no local criteria for expedited reporting apply, a 15-Day report type is not appropriate. In the accepted v37 golden, localCriteriaForExpedited is </w:t>
      </w:r>
      <w:r>
        <w:rPr>
          <w:rFonts w:ascii="Courier New" w:cs="Courier New" w:eastAsia="Courier New" w:hAnsi="Courier New"/>
          <w:color w:val="7030A0"/>
          <w:sz w:val="18"/>
          <w:szCs w:val="18"/>
        </w:rPr>
        <w:t xml:space="preserve">true</w:t>
      </w:r>
      <w:r>
        <w:rPr>
          <w:rFonts w:ascii="Arial" w:cs="Arial" w:eastAsia="Arial" w:hAnsi="Arial"/>
          <w:sz w:val="20"/>
          <w:szCs w:val="20"/>
        </w:rPr>
        <w:t xml:space="preserve">. Align with the actual reporting intent.</w:t>
      </w:r>
    </w:p>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5. Completeness Gaps vs. v37 Golden</w:t>
      </w:r>
    </w:p>
    <w:p>
      <w:pPr>
        <w:spacing w:after="80" w:before="60"/>
      </w:pPr>
      <w:r>
        <w:rPr>
          <w:rFonts w:ascii="Arial" w:cs="Arial" w:eastAsia="Arial" w:hAnsi="Arial"/>
          <w:sz w:val="20"/>
          <w:szCs w:val="20"/>
        </w:rPr>
        <w:t xml:space="preserve">The following elements are present in the accepted v37 package but absent from this submission. Their omission may not cause immediate rejection, but brings the package below full parity with the validated golden reference.</w:t>
      </w:r>
    </w:p>
    <w:p>
      <w:pPr>
        <w:spacing w:after="60" w:before="60"/>
      </w:pPr>
    </w:p>
    <w:p>
      <w:pPr>
        <w:pStyle w:val="Heading3"/>
        <w:spacing w:after="60" w:before="160"/>
      </w:pPr>
      <w:r>
        <w:rPr>
          <w:rFonts w:ascii="Arial" w:cs="Arial" w:eastAsia="Arial" w:hAnsi="Arial"/>
          <w:b/>
          <w:bCs/>
          <w:color w:val="2E75B6"/>
          <w:sz w:val="22"/>
          <w:szCs w:val="22"/>
        </w:rPr>
        <w:t xml:space="preserve">Finding 8 — Missing Combination Product Report Indicator (C156384)</w:t>
      </w:r>
    </w:p>
    <w:p>
      <w:pPr>
        <w:spacing w:after="80" w:before="60"/>
      </w:pPr>
      <w:r>
        <w:rPr>
          <w:rFonts w:ascii="Arial" w:cs="Arial" w:eastAsia="Arial" w:hAnsi="Arial"/>
          <w:sz w:val="20"/>
          <w:szCs w:val="20"/>
        </w:rPr>
        <w:t xml:space="preserve">v37 includes a component observationEvent for the Combination Product Report Indicator. It is absent from this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0" w:before="0"/>
            </w:pPr>
            <w:r>
              <w:rPr>
                <w:rFonts w:ascii="Courier New" w:cs="Courier New" w:eastAsia="Courier New" w:hAnsi="Courier New"/>
                <w:color w:val="1F3864"/>
                <w:sz w:val="17"/>
                <w:szCs w:val="17"/>
              </w:rPr>
              <w:t xml:space="preserve">&lt;component typeCode="COMP"&gt;</w:t>
            </w:r>
          </w:p>
          <w:p>
            <w:pPr>
              <w:spacing w:after="0" w:before="0"/>
            </w:pPr>
            <w:r>
              <w:rPr>
                <w:rFonts w:ascii="Courier New" w:cs="Courier New" w:eastAsia="Courier New" w:hAnsi="Courier New"/>
                <w:color w:val="1F3864"/>
                <w:sz w:val="17"/>
                <w:szCs w:val="17"/>
              </w:rPr>
              <w:t xml:space="preserve">  &lt;observationEvent classCode="OBS" moodCode="EVN"&gt;</w:t>
            </w:r>
          </w:p>
          <w:p>
            <w:pPr>
              <w:spacing w:after="0" w:before="0"/>
            </w:pPr>
            <w:r>
              <w:rPr>
                <w:rFonts w:ascii="Courier New" w:cs="Courier New" w:eastAsia="Courier New" w:hAnsi="Courier New"/>
                <w:color w:val="1F3864"/>
                <w:sz w:val="17"/>
                <w:szCs w:val="17"/>
              </w:rPr>
              <w:t xml:space="preserve">    &lt;code code="C156384" codeSystem="2.16.840.1.113883.3.26.1.1"</w:t>
            </w:r>
          </w:p>
          <w:p>
            <w:pPr>
              <w:spacing w:after="0" w:before="0"/>
            </w:pPr>
            <w:r>
              <w:rPr>
                <w:rFonts w:ascii="Courier New" w:cs="Courier New" w:eastAsia="Courier New" w:hAnsi="Courier New"/>
                <w:color w:val="1F3864"/>
                <w:sz w:val="17"/>
                <w:szCs w:val="17"/>
              </w:rPr>
              <w:t xml:space="preserve">          displayName="Combination Product Report Indicator"/&gt;</w:t>
            </w:r>
          </w:p>
          <w:p>
            <w:pPr>
              <w:spacing w:after="0" w:before="0"/>
            </w:pPr>
            <w:r>
              <w:rPr>
                <w:rFonts w:ascii="Courier New" w:cs="Courier New" w:eastAsia="Courier New" w:hAnsi="Courier New"/>
                <w:color w:val="1F3864"/>
                <w:sz w:val="17"/>
                <w:szCs w:val="17"/>
              </w:rPr>
              <w:t xml:space="preserve">    &lt;value xsi:type="BL" value="false"/&gt;</w:t>
            </w:r>
          </w:p>
          <w:p>
            <w:pPr>
              <w:spacing w:after="0" w:before="0"/>
            </w:pPr>
            <w:r>
              <w:rPr>
                <w:rFonts w:ascii="Courier New" w:cs="Courier New" w:eastAsia="Courier New" w:hAnsi="Courier New"/>
                <w:color w:val="1F3864"/>
                <w:sz w:val="17"/>
                <w:szCs w:val="17"/>
              </w:rPr>
              <w:t xml:space="preserve">  &lt;/observationEvent&gt;</w:t>
            </w:r>
          </w:p>
          <w:p>
            <w:pPr>
              <w:spacing w:after="0" w:before="0"/>
            </w:pPr>
            <w:r>
              <w:rPr>
                <w:rFonts w:ascii="Courier New" w:cs="Courier New" w:eastAsia="Courier New" w:hAnsi="Courier New"/>
                <w:color w:val="1F3864"/>
                <w:sz w:val="17"/>
                <w:szCs w:val="17"/>
              </w:rPr>
              <w:t xml:space="preserve">&lt;/component&gt;</w:t>
            </w:r>
          </w:p>
        </w:tc>
      </w:tr>
    </w:tbl>
    <w:p>
      <w:pPr>
        <w:spacing w:after="60" w:before="60"/>
      </w:pPr>
    </w:p>
    <w:p>
      <w:pPr>
        <w:pStyle w:val="Heading3"/>
        <w:spacing w:after="60" w:before="160"/>
      </w:pPr>
      <w:r>
        <w:rPr>
          <w:rFonts w:ascii="Arial" w:cs="Arial" w:eastAsia="Arial" w:hAnsi="Arial"/>
          <w:b/>
          <w:bCs/>
          <w:color w:val="2E75B6"/>
          <w:sz w:val="22"/>
          <w:szCs w:val="22"/>
        </w:rPr>
        <w:t xml:space="preserve">Finding 9 — Missing Age Group Observation (code=4)</w:t>
      </w:r>
    </w:p>
    <w:p>
      <w:pPr>
        <w:spacing w:after="80" w:before="60"/>
      </w:pPr>
      <w:r>
        <w:rPr>
          <w:rFonts w:ascii="Arial" w:cs="Arial" w:eastAsia="Arial" w:hAnsi="Arial"/>
          <w:sz w:val="20"/>
          <w:szCs w:val="20"/>
        </w:rPr>
        <w:t xml:space="preserve">v37 includes an Age Group observation in the patient primaryRole block alongside Age and Weight. This package has Age and Weight but not Age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F5F5F5" w:val="clear"/>
            <w:tcMar>
              <w:top w:type="dxa" w:w="80"/>
              <w:left w:type="dxa" w:w="160"/>
              <w:bottom w:type="dxa" w:w="80"/>
              <w:right w:type="dxa" w:w="160"/>
            </w:tcMar>
          </w:tcPr>
          <w:p>
            <w:pPr>
              <w:spacing w:after="0" w:before="0"/>
            </w:pPr>
            <w:r>
              <w:rPr>
                <w:rFonts w:ascii="Courier New" w:cs="Courier New" w:eastAsia="Courier New" w:hAnsi="Courier New"/>
                <w:color w:val="1F3864"/>
                <w:sz w:val="17"/>
                <w:szCs w:val="17"/>
              </w:rPr>
              <w:t xml:space="preserve">&lt;subjectOf2 typeCode="SBJ"&gt;</w:t>
            </w:r>
          </w:p>
          <w:p>
            <w:pPr>
              <w:spacing w:after="0" w:before="0"/>
            </w:pPr>
            <w:r>
              <w:rPr>
                <w:rFonts w:ascii="Courier New" w:cs="Courier New" w:eastAsia="Courier New" w:hAnsi="Courier New"/>
                <w:color w:val="1F3864"/>
                <w:sz w:val="17"/>
                <w:szCs w:val="17"/>
              </w:rPr>
              <w:t xml:space="preserve">  &lt;observation classCode="OBS" moodCode="EVN"&gt;</w:t>
            </w:r>
          </w:p>
          <w:p>
            <w:pPr>
              <w:spacing w:after="0" w:before="0"/>
            </w:pPr>
            <w:r>
              <w:rPr>
                <w:rFonts w:ascii="Courier New" w:cs="Courier New" w:eastAsia="Courier New" w:hAnsi="Courier New"/>
                <w:color w:val="1F3864"/>
                <w:sz w:val="17"/>
                <w:szCs w:val="17"/>
              </w:rPr>
              <w:t xml:space="preserve">    &lt;code code="4" codeSystem="2.16.840.1.113883.3.989.2.1.1.19"</w:t>
            </w:r>
          </w:p>
          <w:p>
            <w:pPr>
              <w:spacing w:after="0" w:before="0"/>
            </w:pPr>
            <w:r>
              <w:rPr>
                <w:rFonts w:ascii="Courier New" w:cs="Courier New" w:eastAsia="Courier New" w:hAnsi="Courier New"/>
                <w:color w:val="1F3864"/>
                <w:sz w:val="17"/>
                <w:szCs w:val="17"/>
              </w:rPr>
              <w:t xml:space="preserve">          displayName="Age Group"/&gt;</w:t>
            </w:r>
          </w:p>
          <w:p>
            <w:pPr>
              <w:spacing w:after="0" w:before="0"/>
            </w:pPr>
            <w:r>
              <w:rPr>
                <w:rFonts w:ascii="Courier New" w:cs="Courier New" w:eastAsia="Courier New" w:hAnsi="Courier New"/>
                <w:color w:val="1F3864"/>
                <w:sz w:val="17"/>
                <w:szCs w:val="17"/>
              </w:rPr>
              <w:t xml:space="preserve">    &lt;value xsi:type="CE" code="5" displayName="Adult"</w:t>
            </w:r>
          </w:p>
          <w:p>
            <w:pPr>
              <w:spacing w:after="0" w:before="0"/>
            </w:pPr>
            <w:r>
              <w:rPr>
                <w:rFonts w:ascii="Courier New" w:cs="Courier New" w:eastAsia="Courier New" w:hAnsi="Courier New"/>
                <w:color w:val="1F3864"/>
                <w:sz w:val="17"/>
                <w:szCs w:val="17"/>
              </w:rPr>
              <w:t xml:space="preserve">           codeSystem="2.16.840.1.113883.3.989.2.1.1.19"/&gt;</w:t>
            </w:r>
          </w:p>
          <w:p>
            <w:pPr>
              <w:spacing w:after="0" w:before="0"/>
            </w:pPr>
            <w:r>
              <w:rPr>
                <w:rFonts w:ascii="Courier New" w:cs="Courier New" w:eastAsia="Courier New" w:hAnsi="Courier New"/>
                <w:color w:val="1F3864"/>
                <w:sz w:val="17"/>
                <w:szCs w:val="17"/>
              </w:rPr>
              <w:t xml:space="preserve">  &lt;/observation&gt;</w:t>
            </w:r>
          </w:p>
          <w:p>
            <w:pPr>
              <w:spacing w:after="0" w:before="0"/>
            </w:pPr>
            <w:r>
              <w:rPr>
                <w:rFonts w:ascii="Courier New" w:cs="Courier New" w:eastAsia="Courier New" w:hAnsi="Courier New"/>
                <w:color w:val="1F3864"/>
                <w:sz w:val="17"/>
                <w:szCs w:val="17"/>
              </w:rPr>
              <w:t xml:space="preserve">&lt;/subjectOf2&gt;</w:t>
            </w:r>
          </w:p>
        </w:tc>
      </w:tr>
    </w:tbl>
    <w:p>
      <w:pPr>
        <w:spacing w:after="60" w:before="60"/>
      </w:pPr>
    </w:p>
    <w:p>
      <w:pPr>
        <w:pStyle w:val="Heading3"/>
        <w:spacing w:after="60" w:before="160"/>
      </w:pPr>
      <w:r>
        <w:rPr>
          <w:rFonts w:ascii="Arial" w:cs="Arial" w:eastAsia="Arial" w:hAnsi="Arial"/>
          <w:b/>
          <w:bCs/>
          <w:color w:val="2E75B6"/>
          <w:sz w:val="22"/>
          <w:szCs w:val="22"/>
        </w:rPr>
        <w:t xml:space="preserve">Finding 10 — Missing requiredIntervention, Seriousness, and Outcome per Reaction</w:t>
      </w:r>
    </w:p>
    <w:p>
      <w:pPr>
        <w:spacing w:after="80" w:before="60"/>
      </w:pPr>
      <w:r>
        <w:rPr>
          <w:rFonts w:ascii="Arial" w:cs="Arial" w:eastAsia="Arial" w:hAnsi="Arial"/>
          <w:sz w:val="20"/>
          <w:szCs w:val="20"/>
        </w:rPr>
        <w:t xml:space="preserve">The v37 golden includes three additional outboundRelationship2 blocks per reaction that are absent from both reactions in this package.</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rPr>
          <w:tblHeader/>
        </w:trP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Code</w:t>
            </w:r>
          </w:p>
        </w:tc>
        <w:tc>
          <w:tcPr>
            <w:tcW w:type="dxa" w:w="4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displayName</w:t>
            </w:r>
          </w:p>
        </w:tc>
        <w:tc>
          <w:tcPr>
            <w:tcW w:type="dxa" w:w="4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Status in this package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requiredIntervention</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Absent from both reactions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C83121</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Seriousness</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Absent from both reactions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C49489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Outcome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Absent from both reactions</w:t>
            </w:r>
          </w:p>
        </w:tc>
      </w:tr>
    </w:tbl>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6. What the Package Gets Right</w:t>
      </w:r>
    </w:p>
    <w:p>
      <w:pPr>
        <w:spacing w:after="80" w:before="60"/>
      </w:pPr>
      <w:r>
        <w:rPr>
          <w:rFonts w:ascii="Arial" w:cs="Arial" w:eastAsia="Arial" w:hAnsi="Arial"/>
          <w:sz w:val="20"/>
          <w:szCs w:val="20"/>
        </w:rPr>
        <w:t xml:space="preserve">The following v37 structural requirements are correctly applied — the key lessons from the 37-version troubleshooting history are all present.</w:t>
      </w:r>
    </w:p>
    <w:p>
      <w:pPr>
        <w:spacing w:after="60" w:before="60"/>
      </w:pPr>
    </w:p>
    <w:p>
      <w:pPr>
        <w:pStyle w:val="ListParagraph"/>
        <w:numPr>
          <w:ilvl w:val="0"/>
          <w:numId w:val="2"/>
        </w:numPr>
        <w:spacing w:after="40" w:before="40"/>
      </w:pPr>
      <w:r>
        <w:rPr>
          <w:rFonts w:ascii="Arial" w:cs="Arial" w:eastAsia="Arial" w:hAnsi="Arial"/>
          <w:sz w:val="20"/>
          <w:szCs w:val="20"/>
        </w:rPr>
        <w:t xml:space="preserve">No &lt;author&gt; as direct child of &lt;investigationEvent&gt; (v36 SAX exception confirmed this rule)</w:t>
      </w:r>
    </w:p>
    <w:p>
      <w:pPr>
        <w:pStyle w:val="ListParagraph"/>
        <w:numPr>
          <w:ilvl w:val="0"/>
          <w:numId w:val="2"/>
        </w:numPr>
        <w:spacing w:after="40" w:before="40"/>
      </w:pPr>
      <w:r>
        <w:rPr>
          <w:rFonts w:ascii="Arial" w:cs="Arial" w:eastAsia="Arial" w:hAnsi="Arial"/>
          <w:sz w:val="20"/>
          <w:szCs w:val="20"/>
        </w:rPr>
        <w:t xml:space="preserve">Reporter correctly placed in subjectOf1/controlActEvent/author with OID 2.16.840.1.113883.3.989.2.1.1.7</w:t>
      </w:r>
    </w:p>
    <w:p>
      <w:pPr>
        <w:pStyle w:val="ListParagraph"/>
        <w:numPr>
          <w:ilvl w:val="0"/>
          <w:numId w:val="2"/>
        </w:numPr>
        <w:spacing w:after="40" w:before="40"/>
      </w:pPr>
      <w:r>
        <w:rPr>
          <w:rFonts w:ascii="Arial" w:cs="Arial" w:eastAsia="Arial" w:hAnsi="Arial"/>
          <w:sz w:val="20"/>
          <w:szCs w:val="20"/>
        </w:rPr>
        <w:t xml:space="preserve">subjectOf1 positioned after all component and outboundRelationship elements and before subjectOf2</w:t>
      </w:r>
    </w:p>
    <w:p>
      <w:pPr>
        <w:pStyle w:val="ListParagraph"/>
        <w:numPr>
          <w:ilvl w:val="0"/>
          <w:numId w:val="2"/>
        </w:numPr>
        <w:spacing w:after="40" w:before="40"/>
      </w:pPr>
      <w:r>
        <w:rPr>
          <w:rFonts w:ascii="Arial" w:cs="Arial" w:eastAsia="Arial" w:hAnsi="Arial"/>
          <w:sz w:val="20"/>
          <w:szCs w:val="20"/>
        </w:rPr>
        <w:t xml:space="preserve">Nested representedOrganization structure present (the sole confirmed C.3.2 differentiator between v29 pass and v30 fail)</w:t>
      </w:r>
    </w:p>
    <w:p>
      <w:pPr>
        <w:pStyle w:val="ListParagraph"/>
        <w:numPr>
          <w:ilvl w:val="0"/>
          <w:numId w:val="2"/>
        </w:numPr>
        <w:spacing w:after="40" w:before="40"/>
      </w:pPr>
      <w:r>
        <w:rPr>
          <w:rFonts w:ascii="Arial" w:cs="Arial" w:eastAsia="Arial" w:hAnsi="Arial"/>
          <w:sz w:val="20"/>
          <w:szCs w:val="20"/>
        </w:rPr>
        <w:t xml:space="preserve">CDER receiver (extension=CDER) and ZZFDATST TEST routing present and correctly positioned</w:t>
      </w:r>
    </w:p>
    <w:p>
      <w:pPr>
        <w:pStyle w:val="ListParagraph"/>
        <w:numPr>
          <w:ilvl w:val="0"/>
          <w:numId w:val="2"/>
        </w:numPr>
        <w:spacing w:after="40" w:before="40"/>
      </w:pPr>
      <w:r>
        <w:rPr>
          <w:rFonts w:ascii="Arial" w:cs="Arial" w:eastAsia="Arial" w:hAnsi="Arial"/>
          <w:sz w:val="20"/>
          <w:szCs w:val="20"/>
        </w:rPr>
        <w:t xml:space="preserve">Three sender device IDs present (OIDs .3.11, .3.13, 1.3.6.1.4.1.519.1) all carrying DUNS 334818134</w:t>
      </w:r>
    </w:p>
    <w:p>
      <w:pPr>
        <w:pStyle w:val="ListParagraph"/>
        <w:numPr>
          <w:ilvl w:val="0"/>
          <w:numId w:val="2"/>
        </w:numPr>
        <w:spacing w:after="40" w:before="40"/>
      </w:pPr>
      <w:r>
        <w:rPr>
          <w:rFonts w:ascii="Arial" w:cs="Arial" w:eastAsia="Arial" w:hAnsi="Arial"/>
          <w:sz w:val="20"/>
          <w:szCs w:val="20"/>
        </w:rPr>
        <w:t xml:space="preserve">Batch UUID is fresh and unique</w:t>
      </w:r>
    </w:p>
    <w:p>
      <w:pPr>
        <w:pStyle w:val="ListParagraph"/>
        <w:numPr>
          <w:ilvl w:val="0"/>
          <w:numId w:val="2"/>
        </w:numPr>
        <w:spacing w:after="40" w:before="40"/>
      </w:pPr>
      <w:r>
        <w:rPr>
          <w:rFonts w:ascii="Arial" w:cs="Arial" w:eastAsia="Arial" w:hAnsi="Arial"/>
          <w:sz w:val="20"/>
          <w:szCs w:val="20"/>
        </w:rPr>
        <w:t xml:space="preserve">Both tel: and fax: telecoms present in reporter block</w:t>
      </w:r>
    </w:p>
    <w:p>
      <w:pPr>
        <w:pStyle w:val="ListParagraph"/>
        <w:numPr>
          <w:ilvl w:val="0"/>
          <w:numId w:val="2"/>
        </w:numPr>
        <w:spacing w:after="40" w:before="40"/>
      </w:pPr>
      <w:r>
        <w:rPr>
          <w:rFonts w:ascii="Arial" w:cs="Arial" w:eastAsia="Arial" w:hAnsi="Arial"/>
          <w:sz w:val="20"/>
          <w:szCs w:val="20"/>
        </w:rPr>
        <w:t xml:space="preserve">&lt;country&gt;US&lt;/country&gt; present in reporter address (C.3.4.6)</w:t>
      </w:r>
    </w:p>
    <w:p>
      <w:pPr>
        <w:pStyle w:val="ListParagraph"/>
        <w:numPr>
          <w:ilvl w:val="0"/>
          <w:numId w:val="2"/>
        </w:numPr>
        <w:spacing w:after="40" w:before="40"/>
      </w:pPr>
      <w:r>
        <w:rPr>
          <w:rFonts w:ascii="Arial" w:cs="Arial" w:eastAsia="Arial" w:hAnsi="Arial"/>
          <w:sz w:val="20"/>
          <w:szCs w:val="20"/>
        </w:rPr>
        <w:t xml:space="preserve">localCriteriaForExpedited (code 23) and localCriteriaReportType (C54588) present</w:t>
      </w:r>
    </w:p>
    <w:p>
      <w:pPr>
        <w:pStyle w:val="ListParagraph"/>
        <w:numPr>
          <w:ilvl w:val="0"/>
          <w:numId w:val="2"/>
        </w:numPr>
        <w:spacing w:after="40" w:before="40"/>
      </w:pPr>
      <w:r>
        <w:rPr>
          <w:rFonts w:ascii="Arial" w:cs="Arial" w:eastAsia="Arial" w:hAnsi="Arial"/>
          <w:sz w:val="20"/>
          <w:szCs w:val="20"/>
        </w:rPr>
        <w:t xml:space="preserve">ICH ReportType investigationCharacteristic present</w:t>
      </w:r>
    </w:p>
    <w:p>
      <w:pPr>
        <w:pStyle w:val="ListParagraph"/>
        <w:numPr>
          <w:ilvl w:val="0"/>
          <w:numId w:val="2"/>
        </w:numPr>
        <w:spacing w:after="40" w:before="40"/>
      </w:pPr>
      <w:r>
        <w:rPr>
          <w:rFonts w:ascii="Arial" w:cs="Arial" w:eastAsia="Arial" w:hAnsi="Arial"/>
          <w:sz w:val="20"/>
          <w:szCs w:val="20"/>
        </w:rPr>
        <w:t xml:space="preserve">D.7.2 medical history text and D.7.3 concomitantTherapy indicator present</w:t>
      </w:r>
    </w:p>
    <w:p>
      <w:pPr>
        <w:pStyle w:val="ListParagraph"/>
        <w:numPr>
          <w:ilvl w:val="0"/>
          <w:numId w:val="2"/>
        </w:numPr>
        <w:spacing w:after="40" w:before="40"/>
      </w:pPr>
      <w:r>
        <w:rPr>
          <w:rFonts w:ascii="Arial" w:cs="Arial" w:eastAsia="Arial" w:hAnsi="Arial"/>
          <w:sz w:val="20"/>
          <w:szCs w:val="20"/>
        </w:rPr>
        <w:t xml:space="preserve">Drug indication MedDRA codes present for both suspect and concomitant drugs</w:t>
      </w:r>
    </w:p>
    <w:p>
      <w:pPr>
        <w:pStyle w:val="ListParagraph"/>
        <w:numPr>
          <w:ilvl w:val="0"/>
          <w:numId w:val="2"/>
        </w:numPr>
        <w:spacing w:after="40" w:before="40"/>
      </w:pPr>
      <w:r>
        <w:rPr>
          <w:rFonts w:ascii="Arial" w:cs="Arial" w:eastAsia="Arial" w:hAnsi="Arial"/>
          <w:sz w:val="20"/>
          <w:szCs w:val="20"/>
        </w:rPr>
        <w:t xml:space="preserve">Race and Ethnicity observations present</w:t>
      </w:r>
    </w:p>
    <w:p>
      <w:pPr>
        <w:spacing w:after="60" w:before="60"/>
      </w:pPr>
    </w:p>
    <w:p>
      <w:pPr>
        <w:pStyle w:val="Heading2"/>
        <w:pBdr>
          <w:bottom w:val="single" w:color="2E75B6" w:sz="6" w:space="1"/>
        </w:pBdr>
        <w:spacing w:after="80" w:before="240"/>
      </w:pPr>
      <w:r>
        <w:rPr>
          <w:rFonts w:ascii="Arial" w:cs="Arial" w:eastAsia="Arial" w:hAnsi="Arial"/>
          <w:b/>
          <w:bCs/>
          <w:color w:val="1F3864"/>
          <w:sz w:val="24"/>
          <w:szCs w:val="24"/>
        </w:rPr>
        <w:t xml:space="preserve">7. Recommended Next Steps</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4800"/>
        <w:gridCol w:w="3080"/>
      </w:tblGrid>
      <w:tr>
        <w:trPr>
          <w:tblHeader/>
        </w:trPr>
        <w:tc>
          <w:tcPr>
            <w:tcW w:type="dxa" w:w="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Priority</w:t>
            </w:r>
          </w:p>
        </w:tc>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Finding</w:t>
            </w:r>
          </w:p>
        </w:tc>
        <w:tc>
          <w:tcPr>
            <w:tcW w:type="dxa" w:w="4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Action</w:t>
            </w:r>
          </w:p>
        </w:tc>
        <w:tc>
          <w:tcPr>
            <w:tcW w:type="dxa" w:w="30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spacing w:after="0" w:before="0"/>
            </w:pPr>
            <w:r>
              <w:rPr>
                <w:rFonts w:ascii="Arial" w:cs="Arial" w:eastAsia="Arial" w:hAnsi="Arial"/>
                <w:b/>
                <w:bCs/>
                <w:color w:val="1F3864"/>
                <w:sz w:val="18"/>
                <w:szCs w:val="18"/>
              </w:rPr>
              <w:t xml:space="preserve">Before submission?</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Critical</w:t>
            </w:r>
          </w:p>
        </w:tc>
        <w:tc>
          <w:tcPr>
            <w:tcW w:type="dxa" w:w="4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MedDRA code 00000000 with 10028813 and 10019675</w:t>
            </w:r>
          </w:p>
        </w:tc>
        <w:tc>
          <w:tcPr>
            <w:tcW w:type="dxa" w:w="3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Yes — mandatory</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Critical</w:t>
            </w:r>
          </w:p>
        </w:tc>
        <w:tc>
          <w:tcPr>
            <w:tcW w:type="dxa" w:w="4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value="null" on Height PQ with nullFlavor="NI"</w:t>
            </w:r>
          </w:p>
        </w:tc>
        <w:tc>
          <w:tcPr>
            <w:tcW w:type="dxa" w:w="3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Yes — mandatory</w:t>
            </w:r>
          </w:p>
        </w:tc>
      </w:tr>
      <w:tr>
        <w:tc>
          <w:tcPr>
            <w:tcW w:type="dxa" w:w="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b/>
                <w:bCs/>
                <w:color w:val="C00000"/>
                <w:sz w:val="18"/>
                <w:szCs w:val="18"/>
              </w:rPr>
              <w:t xml:space="preserve">Critical</w:t>
            </w:r>
          </w:p>
        </w:tc>
        <w:tc>
          <w:tcPr>
            <w:tcW w:type="dxa" w:w="4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code="null" on 4 CE elements with nullFlavor="NI"</w:t>
            </w:r>
          </w:p>
        </w:tc>
        <w:tc>
          <w:tcPr>
            <w:tcW w:type="dxa" w:w="308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Yes — mandatory</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Content</w:t>
            </w:r>
          </w:p>
        </w:tc>
        <w:tc>
          <w:tcPr>
            <w:tcW w:type="dxa" w:w="4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Fix reporter prefix from Mr to Dr</w:t>
            </w:r>
          </w:p>
        </w:tc>
        <w:tc>
          <w:tcPr>
            <w:tcW w:type="dxa" w:w="30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Content</w:t>
            </w:r>
          </w:p>
        </w:tc>
        <w:tc>
          <w:tcPr>
            <w:tcW w:type="dxa" w:w="4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Differentiate outer and inner org names</w:t>
            </w:r>
          </w:p>
        </w:tc>
        <w:tc>
          <w:tcPr>
            <w:tcW w:type="dxa" w:w="30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Content</w:t>
            </w:r>
          </w:p>
        </w:tc>
        <w:tc>
          <w:tcPr>
            <w:tcW w:type="dxa" w:w="4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Replace placeholder fax number</w:t>
            </w:r>
          </w:p>
        </w:tc>
        <w:tc>
          <w:tcPr>
            <w:tcW w:type="dxa" w:w="30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w:t>
            </w:r>
          </w:p>
        </w:tc>
      </w:tr>
      <w:tr>
        <w:tc>
          <w:tcPr>
            <w:tcW w:type="dxa" w:w="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7</w:t>
            </w:r>
          </w:p>
        </w:tc>
        <w:tc>
          <w:tcPr>
            <w:tcW w:type="dxa" w:w="14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b/>
                <w:bCs/>
                <w:color w:val="7F6000"/>
                <w:sz w:val="18"/>
                <w:szCs w:val="18"/>
              </w:rPr>
              <w:t xml:space="preserve">Content</w:t>
            </w:r>
          </w:p>
        </w:tc>
        <w:tc>
          <w:tcPr>
            <w:tcW w:type="dxa" w:w="4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Align localCriteriaForExpedited with report type</w:t>
            </w:r>
          </w:p>
        </w:tc>
        <w:tc>
          <w:tcPr>
            <w:tcW w:type="dxa" w:w="30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8</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Missing</w:t>
            </w:r>
          </w:p>
        </w:tc>
        <w:tc>
          <w:tcPr>
            <w:tcW w:type="dxa" w:w="4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Combination Product Report Indicator component</w:t>
            </w:r>
          </w:p>
        </w:tc>
        <w:tc>
          <w:tcPr>
            <w:tcW w:type="dxa" w:w="3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 for v37 parity</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9</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Missing</w:t>
            </w:r>
          </w:p>
        </w:tc>
        <w:tc>
          <w:tcPr>
            <w:tcW w:type="dxa" w:w="4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Age Group observation (code=4) to patient block</w:t>
            </w:r>
          </w:p>
        </w:tc>
        <w:tc>
          <w:tcPr>
            <w:tcW w:type="dxa" w:w="3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 for v37 parity</w:t>
            </w:r>
          </w:p>
        </w:tc>
      </w:tr>
      <w:tr>
        <w:tc>
          <w:tcPr>
            <w:tcW w:type="dxa" w:w="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10</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b/>
                <w:bCs/>
                <w:color w:val="2E74B5"/>
                <w:sz w:val="18"/>
                <w:szCs w:val="18"/>
              </w:rPr>
              <w:t xml:space="preserve">Missing</w:t>
            </w:r>
          </w:p>
        </w:tc>
        <w:tc>
          <w:tcPr>
            <w:tcW w:type="dxa" w:w="4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Add requiredIntervention, Seriousness, Outcome per reaction</w:t>
            </w:r>
          </w:p>
        </w:tc>
        <w:tc>
          <w:tcPr>
            <w:tcW w:type="dxa" w:w="30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vAlign w:val="top"/>
          </w:tcPr>
          <w:p>
            <w:pPr>
              <w:spacing w:after="0" w:before="0"/>
            </w:pPr>
            <w:r>
              <w:rPr>
                <w:rFonts w:ascii="Arial" w:cs="Arial" w:eastAsia="Arial" w:hAnsi="Arial"/>
                <w:sz w:val="18"/>
                <w:szCs w:val="18"/>
              </w:rPr>
              <w:t xml:space="preserve">Recommended for v37 parity</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0" w:before="0"/>
            </w:pPr>
            <w:r>
              <w:rPr>
                <w:rFonts w:ascii="Arial" w:cs="Arial" w:eastAsia="Arial" w:hAnsi="Arial"/>
                <w:color w:val="000000"/>
                <w:sz w:val="20"/>
                <w:szCs w:val="20"/>
              </w:rPr>
              <w:t xml:space="preserve">After applying fixes 1–3, re-run faers_xml_lint.py to confirm 55 PASS / 0 FAIL before uploading to FDA ESG NextGen TEST.</w:t>
            </w:r>
          </w:p>
        </w:tc>
      </w:tr>
    </w:tbl>
    <w:p>
      <w:pPr>
        <w:spacing w:after="60" w:before="60"/>
      </w:pPr>
    </w:p>
    <w:p>
      <w:pPr>
        <w:pBdr>
          <w:top w:val="single" w:color="2E75B6" w:sz="4" w:space="1"/>
        </w:pBdr>
        <w:spacing w:after="0" w:before="240"/>
      </w:pPr>
      <w:r>
        <w:rPr>
          <w:rFonts w:ascii="Arial" w:cs="Arial" w:eastAsia="Arial" w:hAnsi="Arial"/>
          <w:b/>
          <w:bCs/>
          <w:color w:val="595959"/>
          <w:sz w:val="16"/>
          <w:szCs w:val="16"/>
        </w:rPr>
        <w:t xml:space="preserve">Golden reference: </w:t>
      </w:r>
      <w:r>
        <w:rPr>
          <w:rFonts w:ascii="Arial" w:cs="Arial" w:eastAsia="Arial" w:hAnsi="Arial"/>
          <w:color w:val="595959"/>
          <w:sz w:val="16"/>
          <w:szCs w:val="16"/>
        </w:rPr>
        <w:t xml:space="preserve">package/CASE-20260331-EMJQ_fixed_v37_patch.xml  •  ACK ci260410211359  •  Case CA + Batch AA  •  Local report 837098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b/>
        <w:bCs/>
        <w:color w:val="1F3864"/>
        <w:sz w:val="18"/>
        <w:szCs w:val="18"/>
      </w:rPr>
      <w:t xml:space="preserve">FAERS XML Validation Report</w:t>
    </w:r>
    <w:r>
      <w:rPr>
        <w:rFonts w:ascii="Arial" w:cs="Arial" w:eastAsia="Arial" w:hAnsi="Arial"/>
        <w:color w:val="595959"/>
        <w:sz w:val="18"/>
        <w:szCs w:val="18"/>
      </w:rPr>
      <w:t xml:space="preserve">   |   CASE-20260411-4YZ5.xml   |   DeepQuence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2026-04-11T22:00:55.408Z</dcterms:created>
  <dcterms:modified xsi:type="dcterms:W3CDTF">2026-04-11T22:00:55.408Z</dcterms:modified>
</cp:coreProperties>
</file>

<file path=docProps/custom.xml><?xml version="1.0" encoding="utf-8"?>
<Properties xmlns="http://schemas.openxmlformats.org/officeDocument/2006/custom-properties" xmlns:vt="http://schemas.openxmlformats.org/officeDocument/2006/docPropsVTypes"/>
</file>