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FAERS Submission Gap Analysis</w:t>
      </w:r>
    </w:p>
    <w:p>
      <w:pPr>
        <w:spacing w:after="200" w:before="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CASE-20260413-QTXZ vs v37 Golden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🎯  PURPOSE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This report identifies every value-level difference between the app-generated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CASE-20260413-QTXZ.xml and the accepted v37 golden reference. The goal is 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bring the app output to byte-level parity with v37 as a working baseline,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then selectively vary case content once CA+AA is confirmed.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Candidate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CASE-20260413-QTXZ.xml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Golden Ref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CASE-20260331-EMJQ_fixed_v37_patch.xml (CA + AA)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ACK Result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 + AR  (2 rejections: D.7.2, FDA.D.11.r.1)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Structure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296 elements, all indexed paths IDENTICAL to v37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Diffs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 value-level differences (0 structural)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nullFlavor="NI" substitutions (2 confirmed rejections)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Non-blocking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 content-only differences (timestamps, UUIDs, reporter, clinical data)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⛔  ROOT CAUSE (CORRECTED)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2GZK gap report incorrectly attributed D.7.2 / FDA.D.11.r.1 to C49489 values.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Three-way diff proves: both 2GZK and QTXZ share identical nullFlavor="NI" on race,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ethnicity, and medical history text — fields where v37 uses real values.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C49489 fix was valid (CF97 issue) but unrelated to these two rejection codes.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2. Complete Diff Inventory (QTXZ vs v37)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Methodology: canonical ElementTree parse of both files (296 elements each), positional comparison of every attribute and text value. Differences fall into 5 categories.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2.1  Blocking: nullFlavor Substitutions (3 diffs)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These three fields use nullFlavor="NI" where v37 has actual values. FAERS 2.18 rejects two of them.</w:t>
      </w:r>
    </w:p>
    <w:p>
      <w:pPr>
        <w:spacing w:after="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2200"/>
        <w:gridCol w:w="2600"/>
        <w:gridCol w:w="2600"/>
        <w:gridCol w:w="1060"/>
      </w:tblGrid>
      <w:tr>
        <w:tc>
          <w:tcPr>
            <w:tcW w:type="dxa" w:w="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Line</w:t>
            </w:r>
          </w:p>
        </w:tc>
        <w:tc>
          <w:tcPr>
            <w:tcW w:type="dxa" w:w="2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v37 (Accepted)</w:t>
            </w:r>
          </w:p>
        </w:tc>
        <w:tc>
          <w:tcPr>
            <w:tcW w:type="dxa" w:w="2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QTXZ (Rejected)</w:t>
            </w:r>
          </w:p>
        </w:tc>
        <w:tc>
          <w:tcPr>
            <w:tcW w:type="dxa" w:w="10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Race (C17049)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 code="C41260" dn="Asian" cs="2.16...26.1.1"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 nullFlavor="NI"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REJECT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Ethnicity (C16564)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 code="C41222" dn="Not Hispanic or Latino"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 nullFlavor="NI"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 RISK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 History (code=18)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ED text="History of hypertension..."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ED nullFlavor="NI"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REJECT</w:t>
            </w:r>
          </w:p>
        </w:tc>
      </w:tr>
    </w:tbl>
    <w:p>
      <w:pPr>
        <w:spacing w:after="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B656" w:sz="8"/>
              <w:left w:val="single" w:color="D6B656" w:sz="8"/>
              <w:bottom w:val="single" w:color="D6B656" w:sz="8"/>
              <w:right w:val="single" w:color="D6B656" w:sz="8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B656"/>
                <w:sz w:val="18"/>
                <w:szCs w:val="18"/>
              </w:rPr>
              <w:t xml:space="preserve">💡  KEY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v37 uses exactly ONE nullFlavor in the entire file: otherCaseIds BL (line 536).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That one was accepted. The app adds 3 more, and 2 trigger rejections.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Ethnicity was not explicitly rejected but uses the same pattern — fix preventively.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2.2  Non-Blocking: Reaction Clinical Data (4 diffs)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Different case content; all values within valid FAERS ranges. These will differ in real submissions.</w:t>
      </w:r>
    </w:p>
    <w:p>
      <w:pPr>
        <w:spacing w:after="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2200"/>
        <w:gridCol w:w="2600"/>
        <w:gridCol w:w="2600"/>
        <w:gridCol w:w="1060"/>
      </w:tblGrid>
      <w:tr>
        <w:tc>
          <w:tcPr>
            <w:tcW w:type="dxa" w:w="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Line</w:t>
            </w:r>
          </w:p>
        </w:tc>
        <w:tc>
          <w:tcPr>
            <w:tcW w:type="dxa" w:w="2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v37 (Accepted)</w:t>
            </w:r>
          </w:p>
        </w:tc>
        <w:tc>
          <w:tcPr>
            <w:tcW w:type="dxa" w:w="2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QTXZ (Rejected)</w:t>
            </w:r>
          </w:p>
        </w:tc>
        <w:tc>
          <w:tcPr>
            <w:tcW w:type="dxa" w:w="10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~133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Rxn1 code=33 hospitalization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BL value="true"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BL value="false"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Content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~155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Rxn1 code=27 E.i.7 outcome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 code="3" (ongoing)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 code="1" (recovered)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Content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~213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Rxn2 code=26 otherMedImportant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BL value="true"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BL value="false"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Content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~225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Rxn2 code=27 E.i.7 displayName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displayName="not recovered..."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displayName attr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Content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2.3  Non-Blocking: Timestamps (4 diffs)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four timestamps use 20260315070000-0700 vs v37's 20260331161451-0700. These SHOULD differ per submission.</w:t>
      </w:r>
    </w:p>
    <w:p>
      <w:pPr>
        <w:spacing w:after="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2200"/>
        <w:gridCol w:w="2600"/>
        <w:gridCol w:w="2600"/>
        <w:gridCol w:w="1060"/>
      </w:tblGrid>
      <w:tr>
        <w:tc>
          <w:tcPr>
            <w:tcW w:type="dxa" w:w="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Line</w:t>
            </w:r>
          </w:p>
        </w:tc>
        <w:tc>
          <w:tcPr>
            <w:tcW w:type="dxa" w:w="2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v37 (Accepted)</w:t>
            </w:r>
          </w:p>
        </w:tc>
        <w:tc>
          <w:tcPr>
            <w:tcW w:type="dxa" w:w="2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QTXZ (Rejected)</w:t>
            </w:r>
          </w:p>
        </w:tc>
        <w:tc>
          <w:tcPr>
            <w:tcW w:type="dxa" w:w="10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MCCI creationTime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20260331161451-0700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20260315070000-0700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Expected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PORR creationTime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20260331161451-0700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20260315070000-0700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Expected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controlActProcess effectiveTime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20260331161451-0700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20260315070000-0700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Expected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11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availabilityTime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20260331161451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20260315070000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Expected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2.4  Non-Blocking: UUIDs (2 diffs)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Reaction observation &lt;id root="..."&gt; values are unique per case. Expected to differ.</w:t>
      </w:r>
    </w:p>
    <w:p>
      <w:pPr>
        <w:spacing w:after="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2200"/>
        <w:gridCol w:w="2600"/>
        <w:gridCol w:w="2600"/>
        <w:gridCol w:w="1060"/>
      </w:tblGrid>
      <w:tr>
        <w:tc>
          <w:tcPr>
            <w:tcW w:type="dxa" w:w="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Line</w:t>
            </w:r>
          </w:p>
        </w:tc>
        <w:tc>
          <w:tcPr>
            <w:tcW w:type="dxa" w:w="2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v37 (Accepted)</w:t>
            </w:r>
          </w:p>
        </w:tc>
        <w:tc>
          <w:tcPr>
            <w:tcW w:type="dxa" w:w="2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QTXZ (Rejected)</w:t>
            </w:r>
          </w:p>
        </w:tc>
        <w:tc>
          <w:tcPr>
            <w:tcW w:type="dxa" w:w="10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12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Reaction 1 obs UUID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940f6533-1eaa-...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1492dd0e-490d-...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Expected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13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Reaction 2 obs UUID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aa1c051a-64c7-...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cd86f408-eb7a-...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Expected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2.5  Non-Blocking: Reporter Details (11 diffs)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Different reporter identity. For baseline test, the app should emit v37's reporter data.</w:t>
      </w:r>
    </w:p>
    <w:p>
      <w:pPr>
        <w:spacing w:after="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2200"/>
        <w:gridCol w:w="2600"/>
        <w:gridCol w:w="2600"/>
        <w:gridCol w:w="1060"/>
      </w:tblGrid>
      <w:tr>
        <w:tc>
          <w:tcPr>
            <w:tcW w:type="dxa" w:w="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Line</w:t>
            </w:r>
          </w:p>
        </w:tc>
        <w:tc>
          <w:tcPr>
            <w:tcW w:type="dxa" w:w="2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v37 (Accepted)</w:t>
            </w:r>
          </w:p>
        </w:tc>
        <w:tc>
          <w:tcPr>
            <w:tcW w:type="dxa" w:w="2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QTXZ (Rejected)</w:t>
            </w:r>
          </w:p>
        </w:tc>
        <w:tc>
          <w:tcPr>
            <w:tcW w:type="dxa" w:w="10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14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393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streetAddressLine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123 Test St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 Medical Center Drive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Baseline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15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394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city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Sunnyvale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Rockville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Baseline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16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395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MD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Baseline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17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396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postalCode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94085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20850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Baseline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18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399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telecom (tel)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tel:+14085550100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tel:301-555-0100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Baseline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19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telecom (fax)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fax:+14085550101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fax:301-555-0100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Baseline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20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telecom (email)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mailto:sachindeshpande@deepquence.com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mailto:jane.doe@testcgh.example.com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Baseline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21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404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prefix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Baseline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22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405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given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Sachin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Jane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Baseline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23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406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family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Deshpande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Baseline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24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418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org name (inner)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DeepQuence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City General Hospital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Baseline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3. Fix Specification for App (Baseline Mode)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achieve a working baseline that matches v37 and obtains CA+AA, the app must change the following values. Once accepted, these can be relaxed to use real case data.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3.1  Blocking Fixes (MUST change to get CA+AA)</w:t>
      </w:r>
    </w:p>
    <w:p>
      <w:pPr>
        <w:spacing w:after="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🚨  FIX-1: Race Observation (FDA.D.11.r.1)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XPath: //primaryRole/subjectOf2/observation[code/@code="C17049"]/value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E2B(R3) Field: FDA.D.11.r.1 (Patient Race Code)</w:t>
            </w:r>
          </w:p>
        </w:tc>
      </w:tr>
    </w:tbl>
    <w:p>
      <w:pPr>
        <w:spacing w:after="0" w:before="1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&lt;!-- CURRENT (line 75) - REJECTED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&lt;value xsi:type="CE" nullFlavor="NI"/&gt;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&lt;!-- REQUIRED (match v37 line 137)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&lt;value xsi:type="CE" code="C41260" displayName="Asian"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codeSystem="2.16.840.1.113883.3.26.1.1"/&gt;</w:t>
            </w:r>
          </w:p>
        </w:tc>
      </w:tr>
    </w:tbl>
    <w:p>
      <w:pPr>
        <w:spacing w:after="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🚨  FIX-2: Ethnicity Observation (preventive)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XPath: //primaryRole/subjectOf2/observation[code/@code="C16564"]/value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explicitly rejected but uses the same nullFlavor pattern. Fix preventively.</w:t>
            </w:r>
          </w:p>
        </w:tc>
      </w:tr>
    </w:tbl>
    <w:p>
      <w:pPr>
        <w:spacing w:after="0" w:before="1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&lt;!-- CURRENT (line 81) - AT RISK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&lt;value xsi:type="CE" nullFlavor="NI"/&gt;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&lt;!-- REQUIRED (match v37 line 143)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&lt;value xsi:type="CE" code="C41222" displayName="Not Hispanic or Latino"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codeSystem="2.16.840.1.113883.3.26.1.1"/&gt;</w:t>
            </w:r>
          </w:p>
        </w:tc>
      </w:tr>
    </w:tbl>
    <w:p>
      <w:pPr>
        <w:spacing w:after="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🚨  FIX-3: Medical History Text (D.7.2)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XPath: //primaryRole/subjectOf2/organizer[code/@code="1"]/component/observation[code/@code="18"]/value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E2B(R3) Field: D.7.2 (Text for Relevant Medical History)</w:t>
            </w:r>
          </w:p>
        </w:tc>
      </w:tr>
    </w:tbl>
    <w:p>
      <w:pPr>
        <w:spacing w:after="0" w:before="1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&lt;!-- CURRENT (line 90) - REJECTED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&lt;value xsi:type="ED" nullFlavor="NI"/&gt;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&lt;!-- REQUIRED (match v37 line 152)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&lt;value xsi:type="ED"&gt;History of hypertension treated with lisinopril.&lt;/value&gt;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3.2  Baseline Alignment Fixes (to match v37 exactly)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For baseline testing, hardcode v37's exact case data. Once CA+AA is confirmed, these become variable.</w:t>
      </w:r>
    </w:p>
    <w:p>
      <w:pPr>
        <w:spacing w:after="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330"/>
        <w:gridCol w:w="3330"/>
      </w:tblGrid>
      <w:tr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Line</w:t>
            </w:r>
          </w:p>
        </w:tc>
        <w:tc>
          <w:tcPr>
            <w:tcW w:type="dxa" w:w="2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333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Current (QTXZ)</w:t>
            </w:r>
          </w:p>
        </w:tc>
        <w:tc>
          <w:tcPr>
            <w:tcW w:type="dxa" w:w="333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Required (match v37)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~133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Rxn1 code=33 (hosp)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BL value="false"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BL value="true"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~155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Rxn1 code=27 (E.i.7)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CE code="1"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CE code="3" displayName="not recovered/not resolved/ongoing"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~213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Rxn2 code=26 (otherMed)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BL value="false"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BL value="true"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~225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Rxn2 code=27 (E.i.7)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CE code="3" (no dn)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CE code="3" displayName="not recovered..."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393-6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Reporter address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100 Medical Center Dr, Rockville MD 20850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123 Test St, Sunnyvale CA 94085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399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Reporter tel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tel:301-555-0100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tel:+14085550100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400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Reporter fax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fax:301-555-0100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fax:+14085550101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401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Reporter email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jane.doe@testcgh.example.com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sachindeshpande@deepquence.com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404-6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Reporter name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Dr Jane Doe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Mr Sachin Deshpande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418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Reporter org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City General Hospital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5"/>
                <w:szCs w:val="15"/>
              </w:rPr>
              <w:t xml:space="preserve">DeepQuence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3.3  Fields That Should Vary Per Submission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These MUST differ from v37 for each new submission. Do NOT hardcode.</w:t>
      </w:r>
    </w:p>
    <w:p>
      <w:pPr>
        <w:spacing w:after="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60"/>
        <w:gridCol w:w="6000"/>
      </w:tblGrid>
      <w:tr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60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Guidance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Batch UUID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Fresh UUID-v4 per submission (MCCI id extension)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Case ID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SR-CASE-{date}-{4char} and CASE-{date}-{4char}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Timestamps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Use case receipt date, not real-time clock. All 4 timestamps must match.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Reaction UUIDs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Fresh UUID-v4 for each reaction observation &lt;id root="..."&gt;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PORR msg UUID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Fresh UUID-v4 for PORR_IN049016UV &lt;id root="...3.1" extension="..."&gt;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4. App Developer Checklist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Step-by-step instructions for the app developer (Claude Code) to produce a v37-matching baseline.</w:t>
      </w:r>
    </w:p>
    <w:p>
      <w:pPr>
        <w:spacing w:after="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✅  PHASE 1: Achieve v37 parity (blocking)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Replace nullFlavor="NI" on Race (C17049) with code="C41260" displayName="Asian"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Replace nullFlavor="NI" on Ethnicity (C16564) with code="C41222" displayName="Not Hispanic or Latino"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Replace nullFlavor="NI" on Med History (code=18) with text "History of hypertension treated with lisinopril."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Ensure the organizer code="1" wrapper and concomitantTherapy BL="true" remain as-is</w:t>
            </w:r>
          </w:p>
        </w:tc>
      </w:tr>
    </w:tbl>
    <w:p>
      <w:pPr>
        <w:spacing w:after="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✅  PHASE 2: Match v37 case content (baseline alignment)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Set Reaction 1 code=33 (hospitalization) to BL value="true"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Set Reaction 1 code=27 (E.i.7) to CE code="3" with displayName="not recovered/not resolved/ongoing"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Set Reaction 2 code=26 (otherMedImportant) to BL value="true"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Add displayName="not recovered/not resolved/ongoing" to Reaction 2 code=27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Use v37 reporter details: Mr Sachin Deshpande, 123 Test St, Sunnyvale CA 94085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Use v37 reporter org: Drug Safety / DeepQuence (nested representedOrganization)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 Use v37 telecom: tel:+14085550100, fax:+14085550101, mailto:sachindeshpande@deepquence.com</w:t>
            </w:r>
          </w:p>
        </w:tc>
      </w:tr>
    </w:tbl>
    <w:p>
      <w:pPr>
        <w:spacing w:after="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8"/>
              <w:left w:val="single" w:color="70AD47" w:sz="8"/>
              <w:bottom w:val="single" w:color="70AD47" w:sz="8"/>
              <w:right w:val="single" w:color="70AD47" w:sz="8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✅  PHASE 3: Verify and submit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Run canonical element diff: 296 elements expected, only batch UUID + case ID + timestamps + reaction UUIDs should differ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Confirm zero nullFlavor on race, ethnicity, medical history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Submit and expect CA + AA</w:t>
            </w:r>
          </w:p>
        </w:tc>
      </w:tr>
    </w:tbl>
    <w:p>
      <w:pPr>
        <w:spacing w:after="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✅  PHASE 4: Relax to real case data (after CA+AA)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Replace hardcoded race/ethnicity/med-history with real case values (NEVER use nullFlavor="NI")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For unknown race, use code="C17998" displayName="Unknown" (NOT nullFlavor)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For unknown ethnicity, use code="C17998" displayName="Unknown" (NOT nullFlavor)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For empty medical history, use text "None reported" (NOT nullFlavor)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Vary reaction outcomes, seriousness flags, reporter per real case data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Submit each variation individually to identify any new business rule issues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5. nullFlavor Policy for FAERS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Based on empirical evidence from v37 acceptance and 2GZK/QTXZ rejections:</w:t>
      </w:r>
    </w:p>
    <w:p>
      <w:pPr>
        <w:spacing w:after="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160"/>
        <w:gridCol w:w="3000"/>
      </w:tblGrid>
      <w:tr>
        <w:tc>
          <w:tcPr>
            <w:tcW w:type="dxa" w:w="2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nullFlavor?</w:t>
            </w:r>
          </w:p>
        </w:tc>
        <w:tc>
          <w:tcPr>
            <w:tcW w:type="dxa" w:w="2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Evidence</w:t>
            </w:r>
          </w:p>
        </w:tc>
        <w:tc>
          <w:tcPr>
            <w:tcW w:type="dxa" w:w="30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When unknown, use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Race (C17049)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NO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QTXZ + 2GZK rejected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code="C17998" dn="Unknown"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Ethnicity (C16564)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16"/>
                <w:szCs w:val="16"/>
              </w:rPr>
              <w:t xml:space="preserve">AVOID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Not rejected but same pattern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code="C17998" dn="Unknown"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 History text (18)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NO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QTXZ + 2GZK rejected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Actual text or "None reported"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otherCaseIds BL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YES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v37 accepted with NI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nullFlavor="NI" is safe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6. Submission History &amp; Progress</w:t>
      </w:r>
    </w:p>
    <w:p>
      <w:pPr>
        <w:spacing w:after="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60"/>
        <w:gridCol w:w="1200"/>
        <w:gridCol w:w="1200"/>
        <w:gridCol w:w="3600"/>
      </w:tblGrid>
      <w:tr>
        <w:tc>
          <w:tcPr>
            <w:tcW w:type="dxa" w:w="11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  <w:tc>
          <w:tcPr>
            <w:tcW w:type="dxa" w:w="22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Case ID</w:t>
            </w:r>
          </w:p>
        </w:tc>
        <w:tc>
          <w:tcPr>
            <w:tcW w:type="dxa" w:w="1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Case</w:t>
            </w:r>
          </w:p>
        </w:tc>
        <w:tc>
          <w:tcPr>
            <w:tcW w:type="dxa" w:w="1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Batch</w:t>
            </w:r>
          </w:p>
        </w:tc>
        <w:tc>
          <w:tcPr>
            <w:tcW w:type="dxa" w:w="3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Rejection Summary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v37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EMJQ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CA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AA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None — ACCEPTED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CF97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CF97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CR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AR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 rejections incl. E.i.7 code=6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2GZK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2GZK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CR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AR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rejections: D.7.2 + FDA.D.11.r.1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QTXZ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QTXZ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CR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AR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rejections: D.7.2 + FDA.D.11.r.1 (same as 2GZK)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NEXT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TBD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?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?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Expected: CA + AA after applying fixes 1-3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spacing w:after="60" w:before="60"/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  |  Generated 2026-04-13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60" w:before="60"/>
    </w:pPr>
    <w:r>
      <w:rPr>
        <w:rFonts w:ascii="Arial" w:cs="Arial" w:eastAsia="Arial" w:hAnsi="Arial"/>
        <w:b/>
        <w:bCs/>
        <w:color w:val="1F497D"/>
        <w:sz w:val="20"/>
        <w:szCs w:val="20"/>
      </w:rPr>
      <w:t xml:space="preserve">DeepQuence FAERS Gap Analysis</w:t>
    </w:r>
    <w:r>
      <w:rPr>
        <w:rFonts w:ascii="Arial" w:cs="Arial" w:eastAsia="Arial" w:hAnsi="Arial"/>
        <w:color w:val="2E75B6"/>
        <w:sz w:val="18"/>
        <w:szCs w:val="18"/>
      </w:rPr>
      <w:t xml:space="preserve">  |  QTXZ vs v37 Baseline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9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2026-04-13T15:07:30.390Z</dcterms:created>
  <dcterms:modified xsi:type="dcterms:W3CDTF">2026-04-13T15:07:30.390Z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