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left"/>
      </w:pPr>
      <w:r>
        <w:rPr>
          <w:rFonts w:ascii="Arial" w:cs="Arial" w:eastAsia="Arial" w:hAnsi="Arial"/>
          <w:b/>
          <w:bCs/>
          <w:color w:val="1F497D"/>
          <w:sz w:val="40"/>
          <w:szCs w:val="40"/>
        </w:rPr>
        <w:t xml:space="preserve">FAERS XML Gap Validation Report</w:t>
      </w:r>
    </w:p>
    <w:p>
      <w:pPr>
        <w:spacing w:after="60" w:before="0"/>
      </w:pPr>
      <w:r>
        <w:rPr>
          <w:rFonts w:ascii="Arial" w:cs="Arial" w:eastAsia="Arial" w:hAnsi="Arial"/>
          <w:b/>
          <w:bCs/>
          <w:color w:val="595959"/>
          <w:sz w:val="24"/>
          <w:szCs w:val="24"/>
        </w:rPr>
        <w:t xml:space="preserve">Package: CASE-20260412-2CVE.xml</w:t>
      </w:r>
    </w:p>
    <w:p>
      <w:pPr>
        <w:spacing w:after="240" w:before="0"/>
      </w:pPr>
      <w:r>
        <w:rPr>
          <w:rFonts w:ascii="Arial" w:cs="Arial" w:eastAsia="Arial" w:hAnsi="Arial"/>
          <w:color w:val="595959"/>
          <w:sz w:val="18"/>
          <w:szCs w:val="18"/>
        </w:rPr>
        <w:t xml:space="preserve">Validation Date: 2026-04-12   |   Validator: DeepQuence Compliance Review   |   Status: 3 GAPS OPEN</w:t>
      </w:r>
    </w:p>
    <w:p>
      <w:pPr>
        <w:pStyle w:val="Heading1"/>
        <w:spacing w:after="160" w:before="320"/>
      </w:pPr>
      <w:r>
        <w:rPr>
          <w:rFonts w:ascii="Arial" w:cs="Arial" w:eastAsia="Arial" w:hAnsi="Arial"/>
          <w:b/>
          <w:bCs/>
          <w:color w:val="1F497D"/>
          <w:sz w:val="28"/>
          <w:szCs w:val="28"/>
        </w:rPr>
        <w:t xml:space="preserve">1. Context and Purpose</w:t>
      </w:r>
    </w:p>
    <w:p>
      <w:pPr>
        <w:spacing w:after="80" w:before="80"/>
      </w:pPr>
      <w:r>
        <w:rPr>
          <w:rFonts w:ascii="Arial" w:cs="Arial" w:eastAsia="Arial" w:hAnsi="Arial"/>
          <w:sz w:val="20"/>
          <w:szCs w:val="20"/>
        </w:rPr>
        <w:t xml:space="preserve">This report documents the three outstanding gaps identified in CASE-20260412-2CVE.xml, the second app-generated package submitted for validation. The comparison baseline is the v37 golden reference (CASE-20260331-EMJQ_fixed_v37_patch.xml), which achieved full acceptance from the FDA ESG NextGen / CDER FAERS TEST environment (Case CA + Batch AA, ACK ci260410211359).</w:t>
      </w:r>
    </w:p>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2CVE successfully resolved 7 of the 10 findings that were flagged in the prior package (CASE-20260411-4YZ5). The three remaining gaps — described in detail below — do not constitute schema or structural violations and will not be caught by the 55-check lint script. They are content-accuracy and completeness issues that require manual correction before production submission.</w:t>
      </w:r>
    </w:p>
    <w:p>
      <w:pPr>
        <w:spacing w:after="0" w:before="16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2. Lint Script Results</w:t>
      </w:r>
    </w:p>
    <w:p>
      <w:pPr>
        <w:spacing w:after="80" w:before="80"/>
      </w:pPr>
      <w:r>
        <w:rPr>
          <w:rFonts w:ascii="Arial" w:cs="Arial" w:eastAsia="Arial" w:hAnsi="Arial"/>
          <w:sz w:val="20"/>
          <w:szCs w:val="20"/>
        </w:rPr>
        <w:t xml:space="preserve">The 55-check lint script (faers_xml_lint.py) was executed against 2CVE and returned a clean result with no structural failures: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faers_xml_lint.py  CASE-20260412-2CVE.xml</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Section A (Transmission):       PASS  [5/5]</w:t>
            </w:r>
          </w:p>
          <w:p>
            <w:pPr>
              <w:spacing w:after="0" w:before="0" w:line="240"/>
            </w:pPr>
            <w:r>
              <w:rPr>
                <w:rFonts w:ascii="Courier New" w:cs="Courier New" w:eastAsia="Courier New" w:hAnsi="Courier New"/>
                <w:color w:val="1F2937"/>
                <w:sz w:val="17"/>
                <w:szCs w:val="17"/>
              </w:rPr>
              <w:t xml:space="preserve">Section B (Batch):              PASS  [8/8]</w:t>
            </w:r>
          </w:p>
          <w:p>
            <w:pPr>
              <w:spacing w:after="0" w:before="0" w:line="240"/>
            </w:pPr>
            <w:r>
              <w:rPr>
                <w:rFonts w:ascii="Courier New" w:cs="Courier New" w:eastAsia="Courier New" w:hAnsi="Courier New"/>
                <w:color w:val="1F2937"/>
                <w:sz w:val="17"/>
                <w:szCs w:val="17"/>
              </w:rPr>
              <w:t xml:space="preserve">Section C (Sender/Receiver):    PASS  [7/7]</w:t>
            </w:r>
          </w:p>
          <w:p>
            <w:pPr>
              <w:spacing w:after="0" w:before="0" w:line="240"/>
            </w:pPr>
            <w:r>
              <w:rPr>
                <w:rFonts w:ascii="Courier New" w:cs="Courier New" w:eastAsia="Courier New" w:hAnsi="Courier New"/>
                <w:color w:val="1F2937"/>
                <w:sz w:val="17"/>
                <w:szCs w:val="17"/>
              </w:rPr>
              <w:t xml:space="preserve">Section D (ICSR Header):        PASS  [6/6]</w:t>
            </w:r>
          </w:p>
          <w:p>
            <w:pPr>
              <w:spacing w:after="0" w:before="0" w:line="240"/>
            </w:pPr>
            <w:r>
              <w:rPr>
                <w:rFonts w:ascii="Courier New" w:cs="Courier New" w:eastAsia="Courier New" w:hAnsi="Courier New"/>
                <w:color w:val="1F2937"/>
                <w:sz w:val="17"/>
                <w:szCs w:val="17"/>
              </w:rPr>
              <w:t xml:space="preserve">Section E (Patient):            PASS  [9/9]</w:t>
            </w:r>
          </w:p>
          <w:p>
            <w:pPr>
              <w:spacing w:after="0" w:before="0" w:line="240"/>
            </w:pPr>
            <w:r>
              <w:rPr>
                <w:rFonts w:ascii="Courier New" w:cs="Courier New" w:eastAsia="Courier New" w:hAnsi="Courier New"/>
                <w:color w:val="1F2937"/>
                <w:sz w:val="17"/>
                <w:szCs w:val="17"/>
              </w:rPr>
              <w:t xml:space="preserve">Section F (Drug):               PASS  [7/7]</w:t>
            </w:r>
          </w:p>
          <w:p>
            <w:pPr>
              <w:spacing w:after="0" w:before="0" w:line="240"/>
            </w:pPr>
            <w:r>
              <w:rPr>
                <w:rFonts w:ascii="Courier New" w:cs="Courier New" w:eastAsia="Courier New" w:hAnsi="Courier New"/>
                <w:color w:val="1F2937"/>
                <w:sz w:val="17"/>
                <w:szCs w:val="17"/>
              </w:rPr>
              <w:t xml:space="preserve">Section G (Reaction):           PASS  [6/6]</w:t>
            </w:r>
          </w:p>
          <w:p>
            <w:pPr>
              <w:spacing w:after="0" w:before="0" w:line="240"/>
            </w:pPr>
            <w:r>
              <w:rPr>
                <w:rFonts w:ascii="Courier New" w:cs="Courier New" w:eastAsia="Courier New" w:hAnsi="Courier New"/>
                <w:color w:val="1F2937"/>
                <w:sz w:val="17"/>
                <w:szCs w:val="17"/>
              </w:rPr>
              <w:t xml:space="preserve">Section H (Narrative):          PASS  [7/7]</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RESULT: 55/55 checks PASS  —  No structural errors detected.</w:t>
            </w:r>
          </w:p>
        </w:tc>
      </w:tr>
    </w:tbl>
    <w:p>
      <w:pPr>
        <w:spacing w:after="0" w:before="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8"/>
              <w:left w:val="single" w:color="1F497D" w:sz="8"/>
              <w:bottom w:val="single" w:color="1F497D" w:sz="8"/>
              <w:right w:val="single" w:color="1F497D" w:sz="8"/>
            </w:tcBorders>
            <w:shd w:fill="D5E8F0" w:val="clear"/>
            <w:tcMar>
              <w:top w:type="dxa" w:w="80"/>
              <w:left w:type="dxa" w:w="120"/>
              <w:bottom w:type="dxa" w:w="80"/>
              <w:right w:type="dxa" w:w="120"/>
            </w:tcMar>
            <w:vAlign w:val="top"/>
          </w:tcPr>
          <w:p>
            <w:pPr>
              <w:spacing w:after="60" w:before="0"/>
            </w:pPr>
            <w:r>
              <w:rPr>
                <w:rFonts w:ascii="Arial" w:cs="Arial" w:eastAsia="Arial" w:hAnsi="Arial"/>
                <w:b/>
                <w:bCs/>
                <w:color w:val="1F497D"/>
                <w:sz w:val="18"/>
                <w:szCs w:val="18"/>
              </w:rPr>
              <w:t xml:space="preserve">ℹ️  Lint scope limitation</w:t>
            </w:r>
          </w:p>
          <w:p>
            <w:pPr>
              <w:spacing w:after="0" w:before="0"/>
            </w:pPr>
            <w:r>
              <w:rPr>
                <w:rFonts w:ascii="Arial" w:cs="Arial" w:eastAsia="Arial" w:hAnsi="Arial"/>
                <w:sz w:val="18"/>
                <w:szCs w:val="18"/>
              </w:rPr>
              <w:t xml:space="preserve">The lint script validates schema conformance, element ordering, OID values, required attribute presence, and code-system identifiers. It does NOT validate the semantic accuracy of code values (e.g. placeholder fax numbers, logical consistency between related flags, or the completeness of observation sets). The three gaps below fall outside lint scope and require human review.</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3. Gap Summary</w:t>
      </w:r>
    </w:p>
    <w:p>
      <w:pPr>
        <w:spacing w:after="80" w:before="80"/>
      </w:pPr>
      <w:r>
        <w:rPr>
          <w:rFonts w:ascii="Arial" w:cs="Arial" w:eastAsia="Arial" w:hAnsi="Arial"/>
          <w:sz w:val="20"/>
          <w:szCs w:val="20"/>
        </w:rPr>
        <w:t xml:space="preserve">Three findings remain open after the 2CVE revision:</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320"/>
        <w:gridCol w:w="1800"/>
        <w:gridCol w:w="1200"/>
      </w:tblGrid>
      <w:tr>
        <w:trPr>
          <w:tblHeader/>
        </w:trP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t>
            </w:r>
          </w:p>
        </w:tc>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Severity</w:t>
            </w:r>
          </w:p>
        </w:tc>
        <w:tc>
          <w:tcPr>
            <w:tcW w:type="dxa" w:w="43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c>
          <w:tcPr>
            <w:tcW w:type="dxa" w:w="18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XML Field</w:t>
            </w:r>
          </w:p>
        </w:tc>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F-6</w:t>
            </w:r>
          </w:p>
        </w:tc>
        <w:tc>
          <w:tcPr>
            <w:tcW w:type="dxa" w:w="1440"/>
            <w:tcBorders>
              <w:top w:val="single" w:color="D6B656" w:sz="4"/>
              <w:left w:val="single" w:color="D6B656" w:sz="4"/>
              <w:bottom w:val="single" w:color="D6B656" w:sz="4"/>
              <w:right w:val="single" w:color="D6B656" w:sz="4"/>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 Content</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Fax number is still the placeholder value +10000000000; not a real number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telecom[fax]</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F-7</w:t>
            </w:r>
          </w:p>
        </w:tc>
        <w:tc>
          <w:tcPr>
            <w:tcW w:type="dxa" w:w="1440"/>
            <w:tcBorders>
              <w:top w:val="single" w:color="D6B656" w:sz="4"/>
              <w:left w:val="single" w:color="D6B656" w:sz="4"/>
              <w:bottom w:val="single" w:color="D6B656" w:sz="4"/>
              <w:right w:val="single" w:color="D6B656" w:sz="4"/>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 Content</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localCriteriaForExpedited=false while localCriteriaReportType=15-Day — logically contradictory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localCriteria*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F-9</w:t>
            </w:r>
          </w:p>
        </w:tc>
        <w:tc>
          <w:tcPr>
            <w:tcW w:type="dxa" w:w="1440"/>
            <w:tcBorders>
              <w:top w:val="single" w:color="8E44AD" w:sz="4"/>
              <w:left w:val="single" w:color="8E44AD" w:sz="4"/>
              <w:bottom w:val="single" w:color="8E44AD" w:sz="4"/>
              <w:right w:val="single" w:color="8E44AD" w:sz="4"/>
            </w:tcBorders>
            <w:shd w:fill="E8D5F0" w:val="clear"/>
            <w:tcMar>
              <w:top w:type="dxa" w:w="80"/>
              <w:left w:type="dxa" w:w="120"/>
              <w:bottom w:type="dxa" w:w="80"/>
              <w:right w:type="dxa" w:w="120"/>
            </w:tcMar>
            <w:vAlign w:val="top"/>
          </w:tcPr>
          <w:p>
            <w:r>
              <w:rPr>
                <w:rFonts w:ascii="Arial" w:cs="Arial" w:eastAsia="Arial" w:hAnsi="Arial"/>
                <w:b/>
                <w:bCs/>
                <w:color w:val="000000"/>
                <w:sz w:val="18"/>
                <w:szCs w:val="18"/>
              </w:rPr>
              <w:t xml:space="preserve">🔵 Missing</w:t>
            </w:r>
          </w:p>
        </w:tc>
        <w:tc>
          <w:tcPr>
            <w:tcW w:type="dxa" w:w="4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Age group observation (code=4, value CE code=5 "Adult") absent from primaryRole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observation[4]</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rPr>
              <w:t xml:space="preserve">OPEN</w:t>
            </w:r>
          </w:p>
        </w:tc>
      </w:tr>
    </w:tbl>
    <w:p>
      <w:pPr>
        <w:spacing w:after="0" w:before="24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4. Detailed Findings</w:t>
      </w:r>
    </w:p>
    <w:p>
      <w:pPr>
        <w:pStyle w:val="Heading2"/>
        <w:spacing w:after="120" w:before="240"/>
      </w:pPr>
      <w:r>
        <w:rPr>
          <w:rFonts w:ascii="Arial" w:cs="Arial" w:eastAsia="Arial" w:hAnsi="Arial"/>
          <w:b/>
          <w:bCs/>
          <w:color w:val="1F497D"/>
          <w:sz w:val="24"/>
          <w:szCs w:val="24"/>
        </w:rPr>
        <w:t xml:space="preserve">4.1  F-6 — Placeholder Fax Number</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5520"/>
        <w:gridCol w:w="1800"/>
      </w:tblGrid>
      <w:t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F-6</w:t>
            </w:r>
          </w:p>
        </w:tc>
        <w:tc>
          <w:tcPr>
            <w:tcW w:type="dxa" w:w="1440"/>
            <w:tcBorders>
              <w:top w:val="single" w:color="D6B656" w:sz="4"/>
              <w:left w:val="single" w:color="D6B656" w:sz="4"/>
              <w:bottom w:val="single" w:color="D6B656" w:sz="4"/>
              <w:right w:val="single" w:color="D6B656" w:sz="4"/>
            </w:tcBorders>
            <w:shd w:fill="FFF2CC" w:val="clear"/>
            <w:tcMar>
              <w:top w:type="dxa" w:w="80"/>
              <w:left w:type="dxa" w:w="120"/>
              <w:bottom w:type="dxa" w:w="80"/>
              <w:right w:type="dxa" w:w="120"/>
            </w:tcMar>
            <w:vAlign w:val="top"/>
          </w:tcPr>
          <w:p>
            <w:r>
              <w:rPr>
                <w:rFonts w:ascii="Arial" w:cs="Arial" w:eastAsia="Arial" w:hAnsi="Arial"/>
                <w:b/>
                <w:bCs/>
                <w:sz w:val="18"/>
                <w:szCs w:val="18"/>
              </w:rPr>
              <w:t xml:space="preserve">🟡 Content</w:t>
            </w:r>
          </w:p>
        </w:tc>
        <w:tc>
          <w:tcPr>
            <w:tcW w:type="dxa" w:w="552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Placeholder Fax Number</w:t>
            </w:r>
          </w:p>
        </w:tc>
        <w:tc>
          <w:tcPr>
            <w:tcW w:type="dxa" w:w="18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r>
              <w:rPr>
                <w:rFonts w:ascii="Courier New" w:cs="Courier New" w:eastAsia="Courier New" w:hAnsi="Courier New"/>
                <w:sz w:val="17"/>
                <w:szCs w:val="17"/>
              </w:rPr>
              <w:t xml:space="preserve">telecom[@use="WP"]</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Category</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Content / Data-accuracy issue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ACK risk</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None — FDA ESG does not validate fax syntax; however, using a placeholder in a production submission is a regulatory quality concern</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v37 value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fax:+12025551234  (illustrative — v37 carries a real contact number)</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2CVE value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fax:+10000000000  (clearly a placeholder)</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XPath</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//assignedEntity/telecom[@use="WP" and starts-with(@value,"fax:")]</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2CVE package contains the following telecom element in the C.3 sender block:</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&lt;!-- 2CVE — C.3 Sender contact (abbreviated) --&gt;</w:t>
            </w:r>
          </w:p>
          <w:p>
            <w:pPr>
              <w:spacing w:after="0" w:before="0" w:line="240"/>
            </w:pPr>
            <w:r>
              <w:rPr>
                <w:rFonts w:ascii="Courier New" w:cs="Courier New" w:eastAsia="Courier New" w:hAnsi="Courier New"/>
                <w:color w:val="1F2937"/>
                <w:sz w:val="17"/>
                <w:szCs w:val="17"/>
              </w:rPr>
              <w:t xml:space="preserve">&lt;assignedEntity&gt;</w:t>
            </w:r>
          </w:p>
          <w:p>
            <w:pPr>
              <w:spacing w:after="0" w:before="0" w:line="240"/>
            </w:pPr>
            <w:r>
              <w:rPr>
                <w:rFonts w:ascii="Courier New" w:cs="Courier New" w:eastAsia="Courier New" w:hAnsi="Courier New"/>
                <w:color w:val="1F2937"/>
                <w:sz w:val="17"/>
                <w:szCs w:val="17"/>
              </w:rPr>
              <w:t xml:space="preserve">  &lt;telecom use="WP" value="tel:+12025551234"/&gt;</w:t>
            </w:r>
          </w:p>
          <w:p>
            <w:pPr>
              <w:spacing w:after="0" w:before="0" w:line="240"/>
            </w:pPr>
            <w:r>
              <w:rPr>
                <w:rFonts w:ascii="Courier New" w:cs="Courier New" w:eastAsia="Courier New" w:hAnsi="Courier New"/>
                <w:color w:val="1F2937"/>
                <w:sz w:val="17"/>
                <w:szCs w:val="17"/>
              </w:rPr>
              <w:t xml:space="preserve">  &lt;telecom use="WP" value="fax:+10000000000"/&gt;   &lt;!-- ← placeholder --&gt;</w:t>
            </w:r>
          </w:p>
          <w:p>
            <w:pPr>
              <w:spacing w:after="0" w:before="0" w:line="240"/>
            </w:pPr>
            <w:r>
              <w:rPr>
                <w:rFonts w:ascii="Courier New" w:cs="Courier New" w:eastAsia="Courier New" w:hAnsi="Courier New"/>
                <w:color w:val="1F2937"/>
                <w:sz w:val="17"/>
                <w:szCs w:val="17"/>
              </w:rPr>
              <w:t xml:space="preserve">&lt;/assignedEntity&gt;</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8"/>
              <w:left w:val="single" w:color="D6B656" w:sz="8"/>
              <w:bottom w:val="single" w:color="D6B656" w:sz="8"/>
              <w:right w:val="single" w:color="D6B656" w:sz="8"/>
            </w:tcBorders>
            <w:shd w:fill="FFF2CC" w:val="clear"/>
            <w:tcMar>
              <w:top w:type="dxa" w:w="80"/>
              <w:left w:type="dxa" w:w="120"/>
              <w:bottom w:type="dxa" w:w="80"/>
              <w:right w:type="dxa" w:w="120"/>
            </w:tcMar>
            <w:vAlign w:val="top"/>
          </w:tcPr>
          <w:p>
            <w:pPr>
              <w:spacing w:after="60" w:before="0"/>
            </w:pPr>
            <w:r>
              <w:rPr>
                <w:rFonts w:ascii="Arial" w:cs="Arial" w:eastAsia="Arial" w:hAnsi="Arial"/>
                <w:b/>
                <w:bCs/>
                <w:color w:val="D6B656"/>
                <w:sz w:val="18"/>
                <w:szCs w:val="18"/>
              </w:rPr>
              <w:t xml:space="preserve">⚠️  Required action</w:t>
            </w:r>
          </w:p>
          <w:p>
            <w:pPr>
              <w:spacing w:after="0" w:before="0"/>
            </w:pPr>
            <w:r>
              <w:rPr>
                <w:rFonts w:ascii="Arial" w:cs="Arial" w:eastAsia="Arial" w:hAnsi="Arial"/>
                <w:sz w:val="18"/>
                <w:szCs w:val="18"/>
              </w:rPr>
              <w:t xml:space="preserve">Replace fax:+10000000000 with the real fax number for the DeepQuence regulatory affairs contact. If no fax number exists, remove the element entirely rather than leaving a placeholder. FDA does not require a fax value, so omission is preferable to a fabricated number.</w:t>
            </w:r>
          </w:p>
        </w:tc>
      </w:tr>
    </w:tbl>
    <w:p>
      <w:pPr>
        <w:spacing w:after="0" w:before="20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4.2  F-7 — Expedited Criteria Flag / Report-Type Inconsistency</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5520"/>
        <w:gridCol w:w="1800"/>
      </w:tblGrid>
      <w:t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F-7</w:t>
            </w:r>
          </w:p>
        </w:tc>
        <w:tc>
          <w:tcPr>
            <w:tcW w:type="dxa" w:w="1440"/>
            <w:tcBorders>
              <w:top w:val="single" w:color="D6B656" w:sz="4"/>
              <w:left w:val="single" w:color="D6B656" w:sz="4"/>
              <w:bottom w:val="single" w:color="D6B656" w:sz="4"/>
              <w:right w:val="single" w:color="D6B656" w:sz="4"/>
            </w:tcBorders>
            <w:shd w:fill="FFF2CC" w:val="clear"/>
            <w:tcMar>
              <w:top w:type="dxa" w:w="80"/>
              <w:left w:type="dxa" w:w="120"/>
              <w:bottom w:type="dxa" w:w="80"/>
              <w:right w:type="dxa" w:w="120"/>
            </w:tcMar>
            <w:vAlign w:val="top"/>
          </w:tcPr>
          <w:p>
            <w:r>
              <w:rPr>
                <w:rFonts w:ascii="Arial" w:cs="Arial" w:eastAsia="Arial" w:hAnsi="Arial"/>
                <w:b/>
                <w:bCs/>
                <w:sz w:val="18"/>
                <w:szCs w:val="18"/>
              </w:rPr>
              <w:t xml:space="preserve">🟡 Content</w:t>
            </w:r>
          </w:p>
        </w:tc>
        <w:tc>
          <w:tcPr>
            <w:tcW w:type="dxa" w:w="552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Expedited Flag vs. Report-Type Contradiction</w:t>
            </w:r>
          </w:p>
        </w:tc>
        <w:tc>
          <w:tcPr>
            <w:tcW w:type="dxa" w:w="18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r>
              <w:rPr>
                <w:rFonts w:ascii="Courier New" w:cs="Courier New" w:eastAsia="Courier New" w:hAnsi="Courier New"/>
                <w:sz w:val="17"/>
                <w:szCs w:val="17"/>
              </w:rPr>
              <w:t xml:space="preserve">localCriteria*</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Category</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Content / Business-rule consistency issue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ACK risk</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Potential — CDER may flag this during medical review even if ESG NextGen accepts the package structurally</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v37 state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localCriteriaForExpedited=true  AND  localCriteriaReportType=15-Day  (internally consistent)</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2CVE state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localCriteriaForExpedited=false AND  localCriteriaReportType=15-Day  (contradiction)</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XPath (flag)</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//subject1/primaryRole/assignedEntity1/actDefinition/code[@code="2"]/../value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XPath (type)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//subject1/primaryRole/assignedEntity1/actDefinition/code[@code="2"]/../value[2]</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relevant excerpt from 2CVE shows the two fields in immediate proximity:</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&lt;!-- 2CVE — ICSR header, local criteria block --&gt;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code="2" codeSystem="2.16.840.1.113883.3.989.2.1.1.19"/&gt;</w:t>
            </w:r>
          </w:p>
          <w:p>
            <w:pPr>
              <w:spacing w:after="0" w:before="0" w:line="240"/>
            </w:pPr>
            <w:r>
              <w:rPr>
                <w:rFonts w:ascii="Courier New" w:cs="Courier New" w:eastAsia="Courier New" w:hAnsi="Courier New"/>
                <w:color w:val="1F2937"/>
                <w:sz w:val="17"/>
                <w:szCs w:val="17"/>
              </w:rPr>
              <w:t xml:space="preserve">  &lt;value xsi:type="BL" value="false"/&gt;                  &lt;!-- F-7: localCriteriaForExpedited --&gt;</w:t>
            </w:r>
          </w:p>
          <w:p>
            <w:pPr>
              <w:spacing w:after="0" w:before="0" w:line="240"/>
            </w:pPr>
            <w:r>
              <w:rPr>
                <w:rFonts w:ascii="Courier New" w:cs="Courier New" w:eastAsia="Courier New" w:hAnsi="Courier New"/>
                <w:color w:val="1F2937"/>
                <w:sz w:val="17"/>
                <w:szCs w:val="17"/>
              </w:rPr>
              <w:t xml:space="preserve">&lt;/observation&gt;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code="3" codeSystem="2.16.840.1.113883.3.989.2.1.1.19"/&gt;</w:t>
            </w:r>
          </w:p>
          <w:p>
            <w:pPr>
              <w:spacing w:after="0" w:before="0" w:line="240"/>
            </w:pPr>
            <w:r>
              <w:rPr>
                <w:rFonts w:ascii="Courier New" w:cs="Courier New" w:eastAsia="Courier New" w:hAnsi="Courier New"/>
                <w:color w:val="1F2937"/>
                <w:sz w:val="17"/>
                <w:szCs w:val="17"/>
              </w:rPr>
              <w:t xml:space="preserve">  &lt;value xsi:type="CE"</w:t>
            </w:r>
          </w:p>
          <w:p>
            <w:pPr>
              <w:spacing w:after="0" w:before="0" w:line="240"/>
            </w:pPr>
            <w:r>
              <w:rPr>
                <w:rFonts w:ascii="Courier New" w:cs="Courier New" w:eastAsia="Courier New" w:hAnsi="Courier New"/>
                <w:color w:val="1F2937"/>
                <w:sz w:val="17"/>
                <w:szCs w:val="17"/>
              </w:rPr>
              <w:t xml:space="preserve">         code="1"</w:t>
            </w:r>
          </w:p>
          <w:p>
            <w:pPr>
              <w:spacing w:after="0" w:before="0" w:line="240"/>
            </w:pPr>
            <w:r>
              <w:rPr>
                <w:rFonts w:ascii="Courier New" w:cs="Courier New" w:eastAsia="Courier New" w:hAnsi="Courier New"/>
                <w:color w:val="1F2937"/>
                <w:sz w:val="17"/>
                <w:szCs w:val="17"/>
              </w:rPr>
              <w:t xml:space="preserve">         codeSystem="2.16.840.1.113883.3.989.2.1.1.5"</w:t>
            </w:r>
          </w:p>
          <w:p>
            <w:pPr>
              <w:spacing w:after="0" w:before="0" w:line="240"/>
            </w:pPr>
            <w:r>
              <w:rPr>
                <w:rFonts w:ascii="Courier New" w:cs="Courier New" w:eastAsia="Courier New" w:hAnsi="Courier New"/>
                <w:color w:val="1F2937"/>
                <w:sz w:val="17"/>
                <w:szCs w:val="17"/>
              </w:rPr>
              <w:t xml:space="preserve">         displayName="15-Day"/&gt;                         &lt;!-- localCriteriaReportType --&gt;</w:t>
            </w:r>
          </w:p>
          <w:p>
            <w:pPr>
              <w:spacing w:after="0" w:before="0" w:line="240"/>
            </w:pPr>
            <w:r>
              <w:rPr>
                <w:rFonts w:ascii="Courier New" w:cs="Courier New" w:eastAsia="Courier New" w:hAnsi="Courier New"/>
                <w:color w:val="1F2937"/>
                <w:sz w:val="17"/>
                <w:szCs w:val="17"/>
              </w:rPr>
              <w:t xml:space="preserve">&lt;/observation&gt;</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For comparison, the v37 golden reference carries: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&lt;!-- v37 golden — same block --&gt;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code="2" codeSystem="2.16.840.1.113883.3.989.2.1.1.19"/&gt;</w:t>
            </w:r>
          </w:p>
          <w:p>
            <w:pPr>
              <w:spacing w:after="0" w:before="0" w:line="240"/>
            </w:pPr>
            <w:r>
              <w:rPr>
                <w:rFonts w:ascii="Courier New" w:cs="Courier New" w:eastAsia="Courier New" w:hAnsi="Courier New"/>
                <w:color w:val="1F2937"/>
                <w:sz w:val="17"/>
                <w:szCs w:val="17"/>
              </w:rPr>
              <w:t xml:space="preserve">  &lt;value xsi:type="BL" value="true"/&gt;                   &lt;!-- ✓ true → expedited --&gt;</w:t>
            </w:r>
          </w:p>
          <w:p>
            <w:pPr>
              <w:spacing w:after="0" w:before="0" w:line="240"/>
            </w:pPr>
            <w:r>
              <w:rPr>
                <w:rFonts w:ascii="Courier New" w:cs="Courier New" w:eastAsia="Courier New" w:hAnsi="Courier New"/>
                <w:color w:val="1F2937"/>
                <w:sz w:val="17"/>
                <w:szCs w:val="17"/>
              </w:rPr>
              <w:t xml:space="preserve">&lt;/observation&gt;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code="3" codeSystem="2.16.840.1.113883.3.989.2.1.1.19"/&gt;</w:t>
            </w:r>
          </w:p>
          <w:p>
            <w:pPr>
              <w:spacing w:after="0" w:before="0" w:line="240"/>
            </w:pPr>
            <w:r>
              <w:rPr>
                <w:rFonts w:ascii="Courier New" w:cs="Courier New" w:eastAsia="Courier New" w:hAnsi="Courier New"/>
                <w:color w:val="1F2937"/>
                <w:sz w:val="17"/>
                <w:szCs w:val="17"/>
              </w:rPr>
              <w:t xml:space="preserve">  &lt;value xsi:type="CE"</w:t>
            </w:r>
          </w:p>
          <w:p>
            <w:pPr>
              <w:spacing w:after="0" w:before="0" w:line="240"/>
            </w:pPr>
            <w:r>
              <w:rPr>
                <w:rFonts w:ascii="Courier New" w:cs="Courier New" w:eastAsia="Courier New" w:hAnsi="Courier New"/>
                <w:color w:val="1F2937"/>
                <w:sz w:val="17"/>
                <w:szCs w:val="17"/>
              </w:rPr>
              <w:t xml:space="preserve">         code="1"</w:t>
            </w:r>
          </w:p>
          <w:p>
            <w:pPr>
              <w:spacing w:after="0" w:before="0" w:line="240"/>
            </w:pPr>
            <w:r>
              <w:rPr>
                <w:rFonts w:ascii="Courier New" w:cs="Courier New" w:eastAsia="Courier New" w:hAnsi="Courier New"/>
                <w:color w:val="1F2937"/>
                <w:sz w:val="17"/>
                <w:szCs w:val="17"/>
              </w:rPr>
              <w:t xml:space="preserve">         codeSystem="2.16.840.1.113883.3.989.2.1.1.5"</w:t>
            </w:r>
          </w:p>
          <w:p>
            <w:pPr>
              <w:spacing w:after="0" w:before="0" w:line="240"/>
            </w:pPr>
            <w:r>
              <w:rPr>
                <w:rFonts w:ascii="Courier New" w:cs="Courier New" w:eastAsia="Courier New" w:hAnsi="Courier New"/>
                <w:color w:val="1F2937"/>
                <w:sz w:val="17"/>
                <w:szCs w:val="17"/>
              </w:rPr>
              <w:t xml:space="preserve">         displayName="15-Day"/&gt;                         &lt;!-- ✓ consistent --&gt;</w:t>
            </w:r>
          </w:p>
          <w:p>
            <w:pPr>
              <w:spacing w:after="0" w:before="0" w:line="240"/>
            </w:pPr>
            <w:r>
              <w:rPr>
                <w:rFonts w:ascii="Courier New" w:cs="Courier New" w:eastAsia="Courier New" w:hAnsi="Courier New"/>
                <w:color w:val="1F2937"/>
                <w:sz w:val="17"/>
                <w:szCs w:val="17"/>
              </w:rPr>
              <w:t xml:space="preserve">&lt;/observation&gt;</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ICH E2B(R3) specification defines localCriteriaForExpedited as a boolean flag indicating whether the case meets local regulatory criteria for expedited (15-day) reporting. Setting this flag to false while simultaneously declaring the report type as 15-Day creates a logical contradiction: the report claims the case does not meet expedited criteria but is being filed under the expedited timeline.</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8"/>
              <w:left w:val="single" w:color="D6B656" w:sz="8"/>
              <w:bottom w:val="single" w:color="D6B656" w:sz="8"/>
              <w:right w:val="single" w:color="D6B656" w:sz="8"/>
            </w:tcBorders>
            <w:shd w:fill="FFF2CC" w:val="clear"/>
            <w:tcMar>
              <w:top w:type="dxa" w:w="80"/>
              <w:left w:type="dxa" w:w="120"/>
              <w:bottom w:type="dxa" w:w="80"/>
              <w:right w:type="dxa" w:w="120"/>
            </w:tcMar>
            <w:vAlign w:val="top"/>
          </w:tcPr>
          <w:p>
            <w:pPr>
              <w:spacing w:after="60" w:before="0"/>
            </w:pPr>
            <w:r>
              <w:rPr>
                <w:rFonts w:ascii="Arial" w:cs="Arial" w:eastAsia="Arial" w:hAnsi="Arial"/>
                <w:b/>
                <w:bCs/>
                <w:color w:val="D6B656"/>
                <w:sz w:val="18"/>
                <w:szCs w:val="18"/>
              </w:rPr>
              <w:t xml:space="preserve">⚠️  Required action</w:t>
            </w:r>
          </w:p>
          <w:p>
            <w:pPr>
              <w:spacing w:after="0" w:before="0"/>
            </w:pPr>
            <w:r>
              <w:rPr>
                <w:rFonts w:ascii="Arial" w:cs="Arial" w:eastAsia="Arial" w:hAnsi="Arial"/>
                <w:sz w:val="18"/>
                <w:szCs w:val="18"/>
              </w:rPr>
              <w:t xml:space="preserve">Set localCriteriaForExpedited to true (value="true") to match the 15-Day report type, consistent with the v37 golden reference. If the case genuinely does not meet expedited criteria, change localCriteriaReportType to a non-expedited type (e.g. 90-Day). The two fields must be logically consistent.</w:t>
            </w:r>
          </w:p>
        </w:tc>
      </w:tr>
    </w:tbl>
    <w:p>
      <w:pPr>
        <w:spacing w:after="0" w:before="20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4.3  F-9 — Missing Age Group Observation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5520"/>
        <w:gridCol w:w="1800"/>
      </w:tblGrid>
      <w:t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F-9</w:t>
            </w:r>
          </w:p>
        </w:tc>
        <w:tc>
          <w:tcPr>
            <w:tcW w:type="dxa" w:w="1440"/>
            <w:tcBorders>
              <w:top w:val="single" w:color="8E44AD" w:sz="4"/>
              <w:left w:val="single" w:color="8E44AD" w:sz="4"/>
              <w:bottom w:val="single" w:color="8E44AD" w:sz="4"/>
              <w:right w:val="single" w:color="8E44AD" w:sz="4"/>
            </w:tcBorders>
            <w:shd w:fill="E8D5F0" w:val="clear"/>
            <w:tcMar>
              <w:top w:type="dxa" w:w="80"/>
              <w:left w:type="dxa" w:w="120"/>
              <w:bottom w:type="dxa" w:w="80"/>
              <w:right w:type="dxa" w:w="120"/>
            </w:tcMar>
            <w:vAlign w:val="top"/>
          </w:tcPr>
          <w:p>
            <w:r>
              <w:rPr>
                <w:rFonts w:ascii="Arial" w:cs="Arial" w:eastAsia="Arial" w:hAnsi="Arial"/>
                <w:b/>
                <w:bCs/>
                <w:sz w:val="18"/>
                <w:szCs w:val="18"/>
              </w:rPr>
              <w:t xml:space="preserve">🔵 Missing</w:t>
            </w:r>
          </w:p>
        </w:tc>
        <w:tc>
          <w:tcPr>
            <w:tcW w:type="dxa" w:w="552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Age Group Observation Absent from primaryRole</w:t>
            </w:r>
          </w:p>
        </w:tc>
        <w:tc>
          <w:tcPr>
            <w:tcW w:type="dxa" w:w="18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r>
              <w:rPr>
                <w:rFonts w:ascii="Courier New" w:cs="Courier New" w:eastAsia="Courier New" w:hAnsi="Courier New"/>
                <w:sz w:val="17"/>
                <w:szCs w:val="17"/>
              </w:rPr>
              <w:t xml:space="preserve">observation[code=4]</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Category</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Missing element — completeness issue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ACK risk</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Low for TEST acceptance; higher for production — CDER may query the omission during medical review</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v37 state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observation code=4 present with CE value code=5 displayName="Adult" present in primaryRole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2CVE state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observation code=4 entirely absent from primaryRole observation set</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E2B field</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C.1.9.2  Age group of patient at time of onset of reaction (D.2.2a in older mapping)</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OID</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2.16.840.1.113883.3.989.2.1.1.9  (patient age group code system)</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primaryRole block in 2CVE contains observations for date of birth (code=1), age at time of onset (code=2), age unit (code=3), and weight (code=7) but is missing the age group observation (code=4). The v37 golden reference includes this element: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&lt;!-- v37 golden — age group observation inside primaryRole --&gt;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code="4" codeSystem="2.16.840.1.113883.3.989.2.1.1.19"/&gt;</w:t>
            </w:r>
          </w:p>
          <w:p>
            <w:pPr>
              <w:spacing w:after="0" w:before="0" w:line="240"/>
            </w:pPr>
            <w:r>
              <w:rPr>
                <w:rFonts w:ascii="Courier New" w:cs="Courier New" w:eastAsia="Courier New" w:hAnsi="Courier New"/>
                <w:color w:val="1F2937"/>
                <w:sz w:val="17"/>
                <w:szCs w:val="17"/>
              </w:rPr>
              <w:t xml:space="preserve">  &lt;value xsi:type="CE"</w:t>
            </w:r>
          </w:p>
          <w:p>
            <w:pPr>
              <w:spacing w:after="0" w:before="0" w:line="240"/>
            </w:pPr>
            <w:r>
              <w:rPr>
                <w:rFonts w:ascii="Courier New" w:cs="Courier New" w:eastAsia="Courier New" w:hAnsi="Courier New"/>
                <w:color w:val="1F2937"/>
                <w:sz w:val="17"/>
                <w:szCs w:val="17"/>
              </w:rPr>
              <w:t xml:space="preserve">         code="5"</w:t>
            </w:r>
          </w:p>
          <w:p>
            <w:pPr>
              <w:spacing w:after="0" w:before="0" w:line="240"/>
            </w:pPr>
            <w:r>
              <w:rPr>
                <w:rFonts w:ascii="Courier New" w:cs="Courier New" w:eastAsia="Courier New" w:hAnsi="Courier New"/>
                <w:color w:val="1F2937"/>
                <w:sz w:val="17"/>
                <w:szCs w:val="17"/>
              </w:rPr>
              <w:t xml:space="preserve">         codeSystem="2.16.840.1.113883.3.989.2.1.1.9"</w:t>
            </w:r>
          </w:p>
          <w:p>
            <w:pPr>
              <w:spacing w:after="0" w:before="0" w:line="240"/>
            </w:pPr>
            <w:r>
              <w:rPr>
                <w:rFonts w:ascii="Courier New" w:cs="Courier New" w:eastAsia="Courier New" w:hAnsi="Courier New"/>
                <w:color w:val="1F2937"/>
                <w:sz w:val="17"/>
                <w:szCs w:val="17"/>
              </w:rPr>
              <w:t xml:space="preserve">         displayName="Adult"/&gt;</w:t>
            </w:r>
          </w:p>
          <w:p>
            <w:pPr>
              <w:spacing w:after="0" w:before="0" w:line="240"/>
            </w:pPr>
            <w:r>
              <w:rPr>
                <w:rFonts w:ascii="Courier New" w:cs="Courier New" w:eastAsia="Courier New" w:hAnsi="Courier New"/>
                <w:color w:val="1F2937"/>
                <w:sz w:val="17"/>
                <w:szCs w:val="17"/>
              </w:rPr>
              <w:t xml:space="preserve">&lt;/observation&gt;</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This observation corresponds to E2B(R3) data element C.1.9.2 (Age group of patient at time of reaction onset). The ICH E2B(R3) IG lists the following valid age group codes for OID 2.16.840.1.113883.3.989.2.1.1.9:</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rPr>
          <w:tblHeader/>
        </w:trPr>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Code</w:t>
            </w:r>
          </w:p>
        </w:tc>
        <w:tc>
          <w:tcPr>
            <w:tcW w:type="dxa" w:w="33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Display Name</w:t>
            </w:r>
          </w:p>
        </w:tc>
        <w:tc>
          <w:tcPr>
            <w:tcW w:type="dxa" w:w="45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Approximate Age Range</w:t>
            </w:r>
          </w:p>
        </w:tc>
      </w:tr>
      <w:tr>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Courier New" w:cs="Courier New" w:eastAsia="Courier New" w:hAnsi="Courier New"/>
                <w:sz w:val="18"/>
                <w:szCs w:val="18"/>
              </w:rPr>
              <w:t xml:space="preserve">1</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Neonate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0 – 27 days</w:t>
            </w:r>
          </w:p>
        </w:tc>
      </w:tr>
      <w:tr>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Courier New" w:cs="Courier New" w:eastAsia="Courier New" w:hAnsi="Courier New"/>
                <w:sz w:val="18"/>
                <w:szCs w:val="18"/>
              </w:rPr>
              <w:t xml:space="preserve">2</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Infant</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28 days – 23 months</w:t>
            </w:r>
          </w:p>
        </w:tc>
      </w:tr>
      <w:tr>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Courier New" w:cs="Courier New" w:eastAsia="Courier New" w:hAnsi="Courier New"/>
                <w:sz w:val="18"/>
                <w:szCs w:val="18"/>
              </w:rPr>
              <w:t xml:space="preserve">3</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Child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2 – 11 years</w:t>
            </w:r>
          </w:p>
        </w:tc>
      </w:tr>
      <w:tr>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Courier New" w:cs="Courier New" w:eastAsia="Courier New" w:hAnsi="Courier New"/>
                <w:sz w:val="18"/>
                <w:szCs w:val="18"/>
              </w:rPr>
              <w:t xml:space="preserve">4</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Adolescent</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12 – 17 years</w:t>
            </w:r>
          </w:p>
        </w:tc>
      </w:tr>
      <w:tr>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Courier New" w:cs="Courier New" w:eastAsia="Courier New" w:hAnsi="Courier New"/>
                <w:sz w:val="18"/>
                <w:szCs w:val="18"/>
              </w:rPr>
              <w:t xml:space="preserve">5</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Adult</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18 – 64 years</w:t>
            </w:r>
          </w:p>
        </w:tc>
      </w:tr>
      <w:tr>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Courier New" w:cs="Courier New" w:eastAsia="Courier New" w:hAnsi="Courier New"/>
                <w:sz w:val="18"/>
                <w:szCs w:val="18"/>
              </w:rPr>
              <w:t xml:space="preserve">6</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Elderly</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 65 years</w:t>
            </w:r>
          </w:p>
        </w:tc>
      </w:tr>
      <w:tr>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Courier New" w:cs="Courier New" w:eastAsia="Courier New" w:hAnsi="Courier New"/>
                <w:sz w:val="18"/>
                <w:szCs w:val="18"/>
              </w:rPr>
              <w:t xml:space="preserve">0</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Unknown</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8"/>
              <w:left w:val="single" w:color="8E44AD" w:sz="8"/>
              <w:bottom w:val="single" w:color="8E44AD" w:sz="8"/>
              <w:right w:val="single" w:color="8E44AD" w:sz="8"/>
            </w:tcBorders>
            <w:shd w:fill="E8D5F0" w:val="clear"/>
            <w:tcMar>
              <w:top w:type="dxa" w:w="80"/>
              <w:left w:type="dxa" w:w="120"/>
              <w:bottom w:type="dxa" w:w="80"/>
              <w:right w:type="dxa" w:w="120"/>
            </w:tcMar>
            <w:vAlign w:val="top"/>
          </w:tcPr>
          <w:p>
            <w:pPr>
              <w:spacing w:after="60" w:before="0"/>
            </w:pPr>
            <w:r>
              <w:rPr>
                <w:rFonts w:ascii="Arial" w:cs="Arial" w:eastAsia="Arial" w:hAnsi="Arial"/>
                <w:b/>
                <w:bCs/>
                <w:color w:val="8E44AD"/>
                <w:sz w:val="18"/>
                <w:szCs w:val="18"/>
              </w:rPr>
              <w:t xml:space="preserve">🔵  Required action</w:t>
            </w:r>
          </w:p>
          <w:p>
            <w:pPr>
              <w:spacing w:after="0" w:before="0"/>
            </w:pPr>
            <w:r>
              <w:rPr>
                <w:rFonts w:ascii="Arial" w:cs="Arial" w:eastAsia="Arial" w:hAnsi="Arial"/>
                <w:sz w:val="18"/>
                <w:szCs w:val="18"/>
              </w:rPr>
              <w:t xml:space="preserve">Insert the age group observation (code=4) into the primaryRole observation set, immediately after the age/age-unit observations and before weight. Use code=5 (Adult) if the patient age at onset falls in the 18–64 range. Confirm the correct code against the actual patient age recorded in your source data.</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5. Corrected XML — Minimal Patch</w:t>
      </w:r>
    </w:p>
    <w:p>
      <w:pPr>
        <w:spacing w:after="80" w:before="80"/>
      </w:pPr>
      <w:r>
        <w:rPr>
          <w:rFonts w:ascii="Arial" w:cs="Arial" w:eastAsia="Arial" w:hAnsi="Arial"/>
          <w:sz w:val="20"/>
          <w:szCs w:val="20"/>
        </w:rPr>
        <w:t xml:space="preserve">The following snippet shows the three corrections applied together. Only the changed or added elements are shown; all other content in 2CVE is correct and should be preserved.</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&lt;!-- ── F-6: Replace placeholder fax ────────────────────────────────── --&gt;</w:t>
            </w:r>
          </w:p>
          <w:p>
            <w:pPr>
              <w:spacing w:after="0" w:before="0" w:line="240"/>
            </w:pPr>
            <w:r>
              <w:rPr>
                <w:rFonts w:ascii="Courier New" w:cs="Courier New" w:eastAsia="Courier New" w:hAnsi="Courier New"/>
                <w:color w:val="1F2937"/>
                <w:sz w:val="17"/>
                <w:szCs w:val="17"/>
              </w:rPr>
              <w:t xml:space="preserve">&lt;!-- BEFORE --&gt;</w:t>
            </w:r>
          </w:p>
          <w:p>
            <w:pPr>
              <w:spacing w:after="0" w:before="0" w:line="240"/>
            </w:pPr>
            <w:r>
              <w:rPr>
                <w:rFonts w:ascii="Courier New" w:cs="Courier New" w:eastAsia="Courier New" w:hAnsi="Courier New"/>
                <w:color w:val="1F2937"/>
                <w:sz w:val="17"/>
                <w:szCs w:val="17"/>
              </w:rPr>
              <w:t xml:space="preserve">&lt;telecom use="WP" value="fax:+10000000000"/&gt;</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&lt;!-- AFTER --&gt;</w:t>
            </w:r>
          </w:p>
          <w:p>
            <w:pPr>
              <w:spacing w:after="0" w:before="0" w:line="240"/>
            </w:pPr>
            <w:r>
              <w:rPr>
                <w:rFonts w:ascii="Courier New" w:cs="Courier New" w:eastAsia="Courier New" w:hAnsi="Courier New"/>
                <w:color w:val="1F2937"/>
                <w:sz w:val="17"/>
                <w:szCs w:val="17"/>
              </w:rPr>
              <w:t xml:space="preserve">&lt;telecom use="WP" value="fax:+1XXXXXXXXXX"/&gt;  &lt;!-- insert real fax number --&gt;</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&lt;!-- ── F-7: Correct expedited flag ─────────────────────────────────── --&gt;</w:t>
            </w:r>
          </w:p>
          <w:p>
            <w:pPr>
              <w:spacing w:after="0" w:before="0" w:line="240"/>
            </w:pPr>
            <w:r>
              <w:rPr>
                <w:rFonts w:ascii="Courier New" w:cs="Courier New" w:eastAsia="Courier New" w:hAnsi="Courier New"/>
                <w:color w:val="1F2937"/>
                <w:sz w:val="17"/>
                <w:szCs w:val="17"/>
              </w:rPr>
              <w:t xml:space="preserve">&lt;!-- BEFORE --&gt;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code="2" codeSystem="2.16.840.1.113883.3.989.2.1.1.19"/&gt;</w:t>
            </w:r>
          </w:p>
          <w:p>
            <w:pPr>
              <w:spacing w:after="0" w:before="0" w:line="240"/>
            </w:pPr>
            <w:r>
              <w:rPr>
                <w:rFonts w:ascii="Courier New" w:cs="Courier New" w:eastAsia="Courier New" w:hAnsi="Courier New"/>
                <w:color w:val="1F2937"/>
                <w:sz w:val="17"/>
                <w:szCs w:val="17"/>
              </w:rPr>
              <w:t xml:space="preserve">  &lt;value xsi:type="BL" value="false"/&gt;</w:t>
            </w:r>
          </w:p>
          <w:p>
            <w:pPr>
              <w:spacing w:after="0" w:before="0" w:line="240"/>
            </w:pPr>
            <w:r>
              <w:rPr>
                <w:rFonts w:ascii="Courier New" w:cs="Courier New" w:eastAsia="Courier New" w:hAnsi="Courier New"/>
                <w:color w:val="1F2937"/>
                <w:sz w:val="17"/>
                <w:szCs w:val="17"/>
              </w:rPr>
              <w:t xml:space="preserve">&lt;/observation&gt;</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&lt;!-- AFTER --&gt;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code="2" codeSystem="2.16.840.1.113883.3.989.2.1.1.19"/&gt;</w:t>
            </w:r>
          </w:p>
          <w:p>
            <w:pPr>
              <w:spacing w:after="0" w:before="0" w:line="240"/>
            </w:pPr>
            <w:r>
              <w:rPr>
                <w:rFonts w:ascii="Courier New" w:cs="Courier New" w:eastAsia="Courier New" w:hAnsi="Courier New"/>
                <w:color w:val="1F2937"/>
                <w:sz w:val="17"/>
                <w:szCs w:val="17"/>
              </w:rPr>
              <w:t xml:space="preserve">  &lt;value xsi:type="BL" value="true"/&gt;</w:t>
            </w:r>
          </w:p>
          <w:p>
            <w:pPr>
              <w:spacing w:after="0" w:before="0" w:line="240"/>
            </w:pPr>
            <w:r>
              <w:rPr>
                <w:rFonts w:ascii="Courier New" w:cs="Courier New" w:eastAsia="Courier New" w:hAnsi="Courier New"/>
                <w:color w:val="1F2937"/>
                <w:sz w:val="17"/>
                <w:szCs w:val="17"/>
              </w:rPr>
              <w:t xml:space="preserve">&lt;/observation&gt;</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&lt;!-- ── F-9: Add missing age group observation ───────────────────────── --&gt;</w:t>
            </w:r>
          </w:p>
          <w:p>
            <w:pPr>
              <w:spacing w:after="0" w:before="0" w:line="240"/>
            </w:pPr>
            <w:r>
              <w:rPr>
                <w:rFonts w:ascii="Courier New" w:cs="Courier New" w:eastAsia="Courier New" w:hAnsi="Courier New"/>
                <w:color w:val="1F2937"/>
                <w:sz w:val="17"/>
                <w:szCs w:val="17"/>
              </w:rPr>
              <w:t xml:space="preserve">&lt;!-- Insert AFTER the age-unit observation (code=3) inside primaryRole --&gt;</w:t>
            </w:r>
          </w:p>
          <w:p>
            <w:pPr>
              <w:spacing w:after="0" w:before="0" w:line="240"/>
            </w:pPr>
            <w:r>
              <w:rPr>
                <w:rFonts w:ascii="Courier New" w:cs="Courier New" w:eastAsia="Courier New" w:hAnsi="Courier New"/>
                <w:color w:val="1F2937"/>
                <w:sz w:val="17"/>
                <w:szCs w:val="17"/>
              </w:rPr>
              <w:t xml:space="preserve">&lt;observation classCode="OBS" moodCode="EVN"&gt;</w:t>
            </w:r>
          </w:p>
          <w:p>
            <w:pPr>
              <w:spacing w:after="0" w:before="0" w:line="240"/>
            </w:pPr>
            <w:r>
              <w:rPr>
                <w:rFonts w:ascii="Courier New" w:cs="Courier New" w:eastAsia="Courier New" w:hAnsi="Courier New"/>
                <w:color w:val="1F2937"/>
                <w:sz w:val="17"/>
                <w:szCs w:val="17"/>
              </w:rPr>
              <w:t xml:space="preserve">  &lt;code code="4" codeSystem="2.16.840.1.113883.3.989.2.1.1.19"/&gt;</w:t>
            </w:r>
          </w:p>
          <w:p>
            <w:pPr>
              <w:spacing w:after="0" w:before="0" w:line="240"/>
            </w:pPr>
            <w:r>
              <w:rPr>
                <w:rFonts w:ascii="Courier New" w:cs="Courier New" w:eastAsia="Courier New" w:hAnsi="Courier New"/>
                <w:color w:val="1F2937"/>
                <w:sz w:val="17"/>
                <w:szCs w:val="17"/>
              </w:rPr>
              <w:t xml:space="preserve">  &lt;value xsi:type="CE"</w:t>
            </w:r>
          </w:p>
          <w:p>
            <w:pPr>
              <w:spacing w:after="0" w:before="0" w:line="240"/>
            </w:pPr>
            <w:r>
              <w:rPr>
                <w:rFonts w:ascii="Courier New" w:cs="Courier New" w:eastAsia="Courier New" w:hAnsi="Courier New"/>
                <w:color w:val="1F2937"/>
                <w:sz w:val="17"/>
                <w:szCs w:val="17"/>
              </w:rPr>
              <w:t xml:space="preserve">         code="5"</w:t>
            </w:r>
          </w:p>
          <w:p>
            <w:pPr>
              <w:spacing w:after="0" w:before="0" w:line="240"/>
            </w:pPr>
            <w:r>
              <w:rPr>
                <w:rFonts w:ascii="Courier New" w:cs="Courier New" w:eastAsia="Courier New" w:hAnsi="Courier New"/>
                <w:color w:val="1F2937"/>
                <w:sz w:val="17"/>
                <w:szCs w:val="17"/>
              </w:rPr>
              <w:t xml:space="preserve">         codeSystem="2.16.840.1.113883.3.989.2.1.1.9"</w:t>
            </w:r>
          </w:p>
          <w:p>
            <w:pPr>
              <w:spacing w:after="0" w:before="0" w:line="240"/>
            </w:pPr>
            <w:r>
              <w:rPr>
                <w:rFonts w:ascii="Courier New" w:cs="Courier New" w:eastAsia="Courier New" w:hAnsi="Courier New"/>
                <w:color w:val="1F2937"/>
                <w:sz w:val="17"/>
                <w:szCs w:val="17"/>
              </w:rPr>
              <w:t xml:space="preserve">         displayName="Adult"/&gt;</w:t>
            </w:r>
          </w:p>
          <w:p>
            <w:pPr>
              <w:spacing w:after="0" w:before="0" w:line="240"/>
            </w:pPr>
            <w:r>
              <w:rPr>
                <w:rFonts w:ascii="Courier New" w:cs="Courier New" w:eastAsia="Courier New" w:hAnsi="Courier New"/>
                <w:color w:val="1F2937"/>
                <w:sz w:val="17"/>
                <w:szCs w:val="17"/>
              </w:rPr>
              <w:t xml:space="preserve">&lt;/observation&gt;</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6. Resolution Checklist</w:t>
      </w:r>
    </w:p>
    <w:p>
      <w:pPr>
        <w:spacing w:after="80" w:before="80"/>
      </w:pPr>
      <w:r>
        <w:rPr>
          <w:rFonts w:ascii="Arial" w:cs="Arial" w:eastAsia="Arial" w:hAnsi="Arial"/>
          <w:sz w:val="20"/>
          <w:szCs w:val="20"/>
        </w:rPr>
        <w:t xml:space="preserve">Use this checklist to verify the next package version before re-submission:</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5400"/>
        <w:gridCol w:w="1800"/>
      </w:tblGrid>
      <w:tr>
        <w:trPr>
          <w:tblHeader/>
        </w:trPr>
        <w:tc>
          <w:tcPr>
            <w:tcW w:type="dxa" w:w="7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t>
            </w:r>
          </w:p>
        </w:tc>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Finding</w:t>
            </w:r>
          </w:p>
        </w:tc>
        <w:tc>
          <w:tcPr>
            <w:tcW w:type="dxa" w:w="5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Verification step</w:t>
            </w:r>
          </w:p>
        </w:tc>
        <w:tc>
          <w:tcPr>
            <w:tcW w:type="dxa" w:w="18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Responsible</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ourier New" w:cs="Courier New" w:eastAsia="Courier New" w:hAnsi="Courier New"/>
                <w:b/>
                <w:bCs/>
                <w:sz w:val="18"/>
                <w:szCs w:val="18"/>
              </w:rPr>
              <w:t xml:space="preserve">F-6</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Confirm telecom fax value is a real number (not +10000000000 or similar placeholder)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App dev / RA</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ourier New" w:cs="Courier New" w:eastAsia="Courier New" w:hAnsi="Courier New"/>
                <w:b/>
                <w:bCs/>
                <w:sz w:val="18"/>
                <w:szCs w:val="18"/>
              </w:rPr>
              <w:t xml:space="preserve">F-7</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Confirm localCriteriaForExpedited=true when report type is 15-Day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App dev / RA</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ourier New" w:cs="Courier New" w:eastAsia="Courier New" w:hAnsi="Courier New"/>
                <w:b/>
                <w:bCs/>
                <w:sz w:val="18"/>
                <w:szCs w:val="18"/>
              </w:rPr>
              <w:t xml:space="preserve">F-9</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Confirm observation code=4 (age group) is present in primaryRole with correct CE value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App dev</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ourier New" w:cs="Courier New" w:eastAsia="Courier New" w:hAnsi="Courier New"/>
                <w:b/>
                <w:bCs/>
                <w:sz w:val="18"/>
                <w:szCs w:val="18"/>
              </w:rPr>
              <w:t xml:space="preserve">All</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Run faers_xml_lint.py — confirm 55/55 PASS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App dev</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ourier New" w:cs="Courier New" w:eastAsia="Courier New" w:hAnsi="Courier New"/>
                <w:b/>
                <w:bCs/>
                <w:sz w:val="18"/>
                <w:szCs w:val="18"/>
              </w:rPr>
              <w:t xml:space="preserve">All</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Submit to FDA ESG NextGen TEST — confirm Case CA + Batch AA ACK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RA</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Appendix — Resolved Findings (2CVE)</w:t>
      </w:r>
    </w:p>
    <w:p>
      <w:pPr>
        <w:spacing w:after="80" w:before="80"/>
      </w:pPr>
      <w:r>
        <w:rPr>
          <w:rFonts w:ascii="Arial" w:cs="Arial" w:eastAsia="Arial" w:hAnsi="Arial"/>
          <w:sz w:val="20"/>
          <w:szCs w:val="20"/>
        </w:rPr>
        <w:t xml:space="preserve">For completeness, the seven findings that were present in 4YZ5 but have been correctly resolved in 2CVE are listed below. No action is required for these items.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6120"/>
        <w:gridCol w:w="1200"/>
      </w:tblGrid>
      <w:tr>
        <w:trPr>
          <w:tblHeader/>
        </w:trP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t>
            </w:r>
          </w:p>
        </w:tc>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Severity</w:t>
            </w:r>
          </w:p>
        </w:tc>
        <w:tc>
          <w:tcPr>
            <w:tcW w:type="dxa" w:w="61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F-1</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r>
              <w:rPr>
                <w:rFonts w:ascii="Arial" w:cs="Arial" w:eastAsia="Arial" w:hAnsi="Arial"/>
                <w:sz w:val="18"/>
                <w:szCs w:val="18"/>
              </w:rPr>
              <w:t xml:space="preserve">🔴 Critical</w:t>
            </w:r>
          </w:p>
        </w:tc>
        <w:tc>
          <w:tcPr>
            <w:tcW w:type="dxa" w:w="6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MedDRA PT codes were 00000000 placeholder — now use real PT codes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18"/>
                <w:szCs w:val="18"/>
              </w:rPr>
              <w:t xml:space="preserve">RESOLVED</w:t>
            </w:r>
          </w:p>
        </w:tc>
      </w:tr>
      <w:t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F-2</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r>
              <w:rPr>
                <w:rFonts w:ascii="Arial" w:cs="Arial" w:eastAsia="Arial" w:hAnsi="Arial"/>
                <w:sz w:val="18"/>
                <w:szCs w:val="18"/>
              </w:rPr>
              <w:t xml:space="preserve">🔴 Critical</w:t>
            </w:r>
          </w:p>
        </w:tc>
        <w:tc>
          <w:tcPr>
            <w:tcW w:type="dxa" w:w="6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Patient height value="null" — corrected to real numeric value with unit</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18"/>
                <w:szCs w:val="18"/>
              </w:rPr>
              <w:t xml:space="preserve">RESOLVED</w:t>
            </w:r>
          </w:p>
        </w:tc>
      </w:tr>
      <w:t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F-3</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r>
              <w:rPr>
                <w:rFonts w:ascii="Arial" w:cs="Arial" w:eastAsia="Arial" w:hAnsi="Arial"/>
                <w:sz w:val="18"/>
                <w:szCs w:val="18"/>
              </w:rPr>
              <w:t xml:space="preserve">🔴 Critical</w:t>
            </w:r>
          </w:p>
        </w:tc>
        <w:tc>
          <w:tcPr>
            <w:tcW w:type="dxa" w:w="6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Dechallenge/rechallenge code="null" — corrected to valid CE codes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18"/>
                <w:szCs w:val="18"/>
              </w:rPr>
              <w:t xml:space="preserve">RESOLVED</w:t>
            </w:r>
          </w:p>
        </w:tc>
      </w:tr>
      <w:t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F-4</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r>
              <w:rPr>
                <w:rFonts w:ascii="Arial" w:cs="Arial" w:eastAsia="Arial" w:hAnsi="Arial"/>
                <w:sz w:val="18"/>
                <w:szCs w:val="18"/>
              </w:rPr>
              <w:t xml:space="preserve">🟠 Schema</w:t>
            </w:r>
          </w:p>
        </w:tc>
        <w:tc>
          <w:tcPr>
            <w:tcW w:type="dxa" w:w="6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representedOrganization nesting (C.3.2) corrected to outer dept / inner company</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18"/>
                <w:szCs w:val="18"/>
              </w:rPr>
              <w:t xml:space="preserve">RESOLVED</w:t>
            </w:r>
          </w:p>
        </w:tc>
      </w:tr>
      <w:t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F-5</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r>
              <w:rPr>
                <w:rFonts w:ascii="Arial" w:cs="Arial" w:eastAsia="Arial" w:hAnsi="Arial"/>
                <w:sz w:val="18"/>
                <w:szCs w:val="18"/>
              </w:rPr>
              <w:t xml:space="preserve">🟠 Schema</w:t>
            </w:r>
          </w:p>
        </w:tc>
        <w:tc>
          <w:tcPr>
            <w:tcW w:type="dxa" w:w="6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Reaction outcome observation (code=7) coded correctly with valid CE value</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18"/>
                <w:szCs w:val="18"/>
              </w:rPr>
              <w:t xml:space="preserve">RESOLVED</w:t>
            </w:r>
          </w:p>
        </w:tc>
      </w:tr>
      <w:t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F-8</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r>
              <w:rPr>
                <w:rFonts w:ascii="Arial" w:cs="Arial" w:eastAsia="Arial" w:hAnsi="Arial"/>
                <w:sz w:val="18"/>
                <w:szCs w:val="18"/>
              </w:rPr>
              <w:t xml:space="preserve">🔵 Missing</w:t>
            </w:r>
          </w:p>
        </w:tc>
        <w:tc>
          <w:tcPr>
            <w:tcW w:type="dxa" w:w="6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Sender's narrative (H.1) block was absent — now present with &lt;text&gt; element</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18"/>
                <w:szCs w:val="18"/>
              </w:rPr>
              <w:t xml:space="preserve">RESOLVED</w:t>
            </w:r>
          </w:p>
        </w:tc>
      </w:tr>
      <w:t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sz w:val="18"/>
                <w:szCs w:val="18"/>
              </w:rPr>
              <w:t xml:space="preserve">F-10</w:t>
            </w:r>
          </w:p>
        </w:tc>
        <w:tc>
          <w:tcPr>
            <w:tcW w:type="dxa" w:w="14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r>
              <w:rPr>
                <w:rFonts w:ascii="Arial" w:cs="Arial" w:eastAsia="Arial" w:hAnsi="Arial"/>
                <w:sz w:val="18"/>
                <w:szCs w:val="18"/>
              </w:rPr>
              <w:t xml:space="preserve">🔵 Missing</w:t>
            </w:r>
          </w:p>
        </w:tc>
        <w:tc>
          <w:tcPr>
            <w:tcW w:type="dxa" w:w="6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Arial" w:cs="Arial" w:eastAsia="Arial" w:hAnsi="Arial"/>
                <w:sz w:val="18"/>
                <w:szCs w:val="18"/>
              </w:rPr>
              <w:t xml:space="preserve">Second drug causality observation (linkHuman) was missing — now present</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jc w:val="center"/>
            </w:pPr>
            <w:r>
              <w:rPr>
                <w:rFonts w:ascii="Arial" w:cs="Arial" w:eastAsia="Arial" w:hAnsi="Arial"/>
                <w:b/>
                <w:bCs/>
                <w:color w:val="375623"/>
                <w:sz w:val="18"/>
                <w:szCs w:val="18"/>
              </w:rPr>
              <w:t xml:space="preserve">RESOLVED</w:t>
            </w:r>
          </w:p>
        </w:tc>
      </w:tr>
    </w:tbl>
    <w:p>
      <w:pPr>
        <w:spacing w:after="0" w:before="120"/>
      </w:pPr>
      <w:r>
        <w:rPr>
          <w:rFonts w:ascii="Arial" w:cs="Arial" w:eastAsia="Arial" w:hAnsi="Arial"/>
          <w:sz w:val="20"/>
          <w:szCs w:val="20"/>
        </w:rPr>
        <w:t xml:space="preserve"/>
      </w:r>
    </w:p>
    <w:p>
      <w:pPr>
        <w:spacing w:after="80" w:before="80"/>
        <w:jc w:val="center"/>
      </w:pPr>
      <w:r>
        <w:rPr>
          <w:rFonts w:ascii="Arial" w:cs="Arial" w:eastAsia="Arial" w:hAnsi="Arial"/>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0" w:before="80"/>
      <w:jc w:val="right"/>
    </w:pPr>
    <w:r>
      <w:rPr>
        <w:rFonts w:ascii="Arial" w:cs="Arial" w:eastAsia="Arial" w:hAnsi="Arial"/>
        <w:color w:val="595959"/>
        <w:sz w:val="16"/>
        <w:szCs w:val="16"/>
      </w:rPr>
      <w:t xml:space="preserve">CONFIDENTIAL — DeepQuence Inc.   </w:t>
    </w:r>
    <w:r>
      <w:rPr>
        <w:rFonts w:ascii="Arial" w:cs="Arial" w:eastAsia="Arial" w:hAnsi="Arial"/>
        <w:sz w:val="16"/>
        <w:szCs w:val="16"/>
      </w:rPr>
      <w:t xml:space="preserve">Page </w:t>
    </w:r>
    <w:r>
      <w:rPr>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space="1"/>
      </w:pBdr>
      <w:spacing w:after="120" w:before="0"/>
      <w:jc w:val="left"/>
    </w:pPr>
    <w:r>
      <w:rPr>
        <w:rFonts w:ascii="Arial" w:cs="Arial" w:eastAsia="Arial" w:hAnsi="Arial"/>
        <w:b/>
        <w:bCs/>
        <w:color w:val="1F497D"/>
        <w:sz w:val="20"/>
        <w:szCs w:val="20"/>
      </w:rPr>
      <w:t xml:space="preserve">DeepQuence FAERS Submission  </w:t>
    </w:r>
    <w:r>
      <w:rPr>
        <w:rFonts w:ascii="Arial" w:cs="Arial" w:eastAsia="Arial" w:hAnsi="Arial"/>
        <w:color w:val="595959"/>
        <w:sz w:val="20"/>
        <w:szCs w:val="20"/>
      </w:rPr>
      <w:t xml:space="preserve">|  Gap Validation Report  |  CASE-20260412-2CVE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2026-04-12T05:42:33.737Z</dcterms:created>
  <dcterms:modified xsi:type="dcterms:W3CDTF">2026-04-12T05:42:33.738Z</dcterms:modified>
</cp:coreProperties>
</file>

<file path=docProps/custom.xml><?xml version="1.0" encoding="utf-8"?>
<Properties xmlns="http://schemas.openxmlformats.org/officeDocument/2006/custom-properties" xmlns:vt="http://schemas.openxmlformats.org/officeDocument/2006/docPropsVTypes"/>
</file>