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52"/>
          <w:szCs w:val="52"/>
        </w:rPr>
        <w:t xml:space="preserve">Joint Venture Operating Blueprint</w:t>
      </w:r>
    </w:p>
    <w:p>
      <w:pPr>
        <w:spacing w:after="0" w:before="160"/>
        <w:jc w:val="center"/>
      </w:pPr>
      <w:r>
        <w:rPr>
          <w:color w:val="2E75B6"/>
          <w:sz w:val="30"/>
          <w:szCs w:val="30"/>
        </w:rPr>
        <w:t xml:space="preserve">An AI-Leveraged FDA Regulatory Submission Service</w:t>
      </w:r>
    </w:p>
    <w:p>
      <w:pPr>
        <w:spacing w:after="0" w:before="700"/>
        <w:jc w:val="center"/>
      </w:pPr>
      <w:r>
        <w:rPr>
          <w:i/>
          <w:iCs/>
          <w:sz w:val="24"/>
          <w:szCs w:val="24"/>
        </w:rPr>
        <w:t xml:space="preserve">Prepared for the proposed joint venture between</w:t>
      </w:r>
    </w:p>
    <w:p>
      <w:pPr>
        <w:spacing w:after="0" w:before="80"/>
        <w:jc w:val="center"/>
      </w:pPr>
      <w:r>
        <w:rPr>
          <w:b/>
          <w:bCs/>
          <w:sz w:val="26"/>
          <w:szCs w:val="26"/>
        </w:rPr>
        <w:t xml:space="preserve">your submission-technology company  ×  Universal Regulatory</w:t>
      </w:r>
    </w:p>
    <w:p>
      <w:pPr>
        <w:spacing w:after="0" w:before="1400"/>
        <w:jc w:val="center"/>
      </w:pPr>
      <w:r>
        <w:rPr>
          <w:color w:val="808080"/>
          <w:sz w:val="22"/>
          <w:szCs w:val="22"/>
        </w:rPr>
        <w:t xml:space="preserve">Strategy &amp; Operating-Model Working Document  •  June 2026</w:t>
      </w:r>
    </w:p>
    <w:p>
      <w:pPr>
        <w:spacing w:after="0" w:before="80"/>
        <w:jc w:val="center"/>
      </w:pPr>
      <w:r>
        <w:rPr>
          <w:color w:val="808080"/>
          <w:sz w:val="18"/>
          <w:szCs w:val="18"/>
        </w:rPr>
        <w:t xml:space="preserve">CONFIDENTIAL — FOR JV PARTNER DISCUSSION</w:t>
      </w:r>
    </w:p>
    <w:p>
      <w:r>
        <w:br w:type="page"/>
      </w:r>
    </w:p>
    <w:p>
      <w:pPr>
        <w:spacing w:after="16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76"/>
      </w:pPr>
      <w:r>
        <w:t xml:space="preserve">This document frames how a joint venture (JV) between your submission-technology company and Universal Regulatory could deliver FDA regulatory submissions — INDs, NDAs, BLAs, and their lifecycle sequences — as an outsourced, AI-leveraged service. The model is the regulatory-operations service bureau (the category exemplified by firms such as Omnicia), not a licensed software platform that sponsors run themselves.</w:t>
      </w:r>
    </w:p>
    <w:p>
      <w:pPr>
        <w:spacing w:after="160" w:line="276"/>
      </w:pPr>
      <w:r>
        <w:t xml:space="preserve">The strategic logic is a clean division of strengths. Universal Regulatory supplies the regulatory expertise, FDA-facing accountability, professional liability, and the quality system that sponsors are actually paying for. Your side supplies the AI-driven automation that compresses the labor which is the entire cost structure of incumbent service providers. The JV monetizes trust and expertise while delivering it with a fraction of the traditional headcount.</w:t>
      </w:r>
    </w:p>
    <w:p>
      <w:pPr>
        <w:spacing w:after="160" w:line="276"/>
      </w:pPr>
      <w:r>
        <w:t xml:space="preserve">Three 2026 regulatory shifts make the timing favorable: the FDA gateway now exposes a programmatic API (enabling fully automated submission and status tracking), the adverse-event system has moved to mandatory modern data standards, and the eCTD format is mid-transition to v4.0 — a window in which a v4.0-native new entrant competes against incumbents carrying legacy tooling.</w:t>
      </w:r>
    </w:p>
    <w:p>
      <w:pPr>
        <w:spacing w:after="160" w:line="276"/>
      </w:pPr>
      <w:r>
        <w:rPr>
          <w:b/>
          <w:bCs/>
        </w:rPr>
        <w:t xml:space="preserve">Bottom line: </w:t>
      </w:r>
      <w:r>
        <w:t xml:space="preserve">the venture is sound if it is scoped as a service business whose moat is trust and expertise, with AI as the margin engine rather than the product. The decisions that make or break it are commercial and structural — economics, IP ownership, accountability, and data governance — not engineering.</w:t>
      </w:r>
    </w:p>
    <w:p>
      <w:pPr>
        <w:pStyle w:val="Heading1"/>
      </w:pPr>
      <w:r>
        <w:t xml:space="preserve">2. Strategic Rationale</w:t>
      </w:r>
    </w:p>
    <w:p>
      <w:pPr>
        <w:pStyle w:val="Heading2"/>
      </w:pPr>
      <w:r>
        <w:t xml:space="preserve">2.1 Why the service-bureau model, not a platform</w:t>
      </w:r>
    </w:p>
    <w:p>
      <w:pPr>
        <w:spacing w:after="160" w:line="276"/>
      </w:pPr>
      <w:r>
        <w:t xml:space="preserve">Building a submission software platform (a Veeva or LORENZ competitor) means selling validated software that sponsors run under their own quality systems — a heavy lift dominated by computer-system validation, regulatory-correctness liability, and the multi-year trust-building required before anyone stakes a pivotal application on new software. The service-bureau model sidesteps most of this: the JV delivers a compliant submission as an outcome, absorbing the operational risk internally rather than shipping a product others must qualify.</w:t>
      </w:r>
    </w:p>
    <w:p>
      <w:pPr>
        <w:pStyle w:val="Heading2"/>
      </w:pPr>
      <w:r>
        <w:t xml:space="preserve">2.2 Why AI changes the economics here specifically</w:t>
      </w:r>
    </w:p>
    <w:p>
      <w:pPr>
        <w:spacing w:after="160" w:line="276"/>
      </w:pPr>
      <w:r>
        <w:t xml:space="preserve">In unregulated software, AI compresses the cost of writing code. In FDA submissions, the code was never the expensive part — validation, regulatory correctness, and trust were. The service model is different: its dominant cost is skilled human labor performing meticulous, repetitive eCTD assembly and quality control. That labor is exactly what AI can compress. So the AI thesis lands far harder against a labor-heavy service incumbent than it would against a software incumbent.</w:t>
      </w:r>
    </w:p>
    <w:p>
      <w:pPr>
        <w:pStyle w:val="Heading2"/>
      </w:pPr>
      <w:r>
        <w:t xml:space="preserve">2.3 Why the JV structure is the right vehicle</w:t>
      </w:r>
    </w:p>
    <w:p>
      <w:pPr>
        <w:spacing w:after="160" w:line="276"/>
      </w:pPr>
      <w:r>
        <w:t xml:space="preserve">The single biggest risk in the standalone version of this idea was the absence of a credible regulatory-expertise and accountability anchor. The JV with Universal Regulatory supplies precisely that. Each party contributes the thing the other cannot credibly manufacture: they bring the FDA-facing signature and quality system; you bring the automation leverage. That complementarity is the venture's core defensibility.</w:t>
      </w:r>
    </w:p>
    <w:p>
      <w:pPr>
        <w:pStyle w:val="Heading1"/>
      </w:pPr>
      <w:r>
        <w:t xml:space="preserve">3. Regulatory Landscape and 2026 Tailwinds</w:t>
      </w:r>
    </w:p>
    <w:p>
      <w:pPr>
        <w:spacing w:after="160" w:line="276"/>
      </w:pPr>
      <w:r>
        <w:t xml:space="preserve">Three current FDA developments directly shape the build and create openings a new entrant can exploit.</w:t>
      </w:r>
    </w:p>
    <w:p>
      <w:pPr>
        <w:pStyle w:val="Heading2"/>
      </w:pPr>
      <w:r>
        <w:t xml:space="preserve">3.1 ESG NextGen now offers a submission API</w:t>
      </w:r>
    </w:p>
    <w:p>
      <w:pPr>
        <w:spacing w:after="160" w:line="276"/>
      </w:pPr>
      <w:r>
        <w:t xml:space="preserve">The FDA Electronic Submissions Gateway has been modernized as ESG NextGen. As of April 2025 the legacy WebTrader interface was replaced by the Unified Submission Portal (USP), and — most importantly for an automated service — ESG NextGen now exposes a suite of web-service APIs to submit files, check submission status, and retrieve acknowledgements (File Submit, Get Submission Status, Get Acknowledgement, and related endpoints), authenticated with a Client ID and Secret Key obtained through a USP account. AS2 is now treated as legacy, with the API the forward path.</w:t>
      </w:r>
    </w:p>
    <w:p>
      <w:pPr>
        <w:spacing w:after="160" w:line="276"/>
      </w:pPr>
      <w:r>
        <w:rPr>
          <w:b/>
          <w:bCs/>
        </w:rPr>
        <w:t xml:space="preserve">Implication: </w:t>
      </w:r>
      <w:r>
        <w:t xml:space="preserve">the gateway itself can now be driven programmatically end-to-end — submit, poll status, pull ACKs — which is the technical foundation an AI-leveraged service needs. This did not exist in the old AS2-only world and materially de-risks the automation thesis.</w:t>
      </w:r>
    </w:p>
    <w:p>
      <w:pPr>
        <w:pStyle w:val="Heading2"/>
      </w:pPr>
      <w:r>
        <w:t xml:space="preserve">3.2 The adverse-event system has moved to AEMS / E2B(R3)</w:t>
      </w:r>
    </w:p>
    <w:p>
      <w:pPr>
        <w:spacing w:after="160" w:line="276"/>
      </w:pPr>
      <w:r>
        <w:t xml:space="preserve">The system formerly known as FAERS is now the FDA Adverse Event Monitoring System (AEMS). From October 1, 2026, postmarketing ICSRs for human drug, biologic, and drug/biologic-led combination products submitted via ESG NextGen must use ICH E2B(R3) data standards; E2B(R2) will no longer be accepted for these categories after September 30, 2026.</w:t>
      </w:r>
    </w:p>
    <w:p>
      <w:pPr>
        <w:spacing w:after="160" w:line="276"/>
      </w:pPr>
      <w:r>
        <w:rPr>
          <w:b/>
          <w:bCs/>
        </w:rPr>
        <w:t xml:space="preserve">Implication: </w:t>
      </w:r>
      <w:r>
        <w:t xml:space="preserve">your existing safety-reporting application sits directly on a near-term compliance deadline. That is a natural credibility wedge — a low-stakes, high-volume entry point to prove the JV's automated pipeline before taking on application-level submissions.</w:t>
      </w:r>
    </w:p>
    <w:p>
      <w:pPr>
        <w:pStyle w:val="Heading2"/>
      </w:pPr>
      <w:r>
        <w:t xml:space="preserve">3.3 eCTD is mid-transition to v4.0</w:t>
      </w:r>
    </w:p>
    <w:p>
      <w:pPr>
        <w:spacing w:after="160" w:line="276"/>
      </w:pPr>
      <w:r>
        <w:t xml:space="preserve">FDA's CDER and CBER have accepted eCTD v4.0 (the HL7 RPS-based format) for new applications since September 2024 on a voluntary basis, with an industry-anticipated mandatory cutover around 2028–2029. The current mandatory format remains v3.2.2.</w:t>
      </w:r>
    </w:p>
    <w:p>
      <w:pPr>
        <w:spacing w:after="160" w:line="276"/>
      </w:pPr>
      <w:r>
        <w:rPr>
          <w:b/>
          <w:bCs/>
        </w:rPr>
        <w:t xml:space="preserve">Implication: </w:t>
      </w:r>
      <w:r>
        <w:t xml:space="preserve">this transition window is a genuine opening. A new entrant can build v4.0-native while incumbents carry years of v3.2.2 legacy. The JV should design for dual v3.2.2 / v4.0 capability from day one and treat v4.0 fluency as a differentiator.</w:t>
      </w:r>
    </w:p>
    <w:p>
      <w:pPr>
        <w:pStyle w:val="Heading1"/>
      </w:pPr>
      <w:r>
        <w:t xml:space="preserve">4. JV Structure and Lane Split</w:t>
      </w:r>
    </w:p>
    <w:p>
      <w:pPr>
        <w:spacing w:after="160" w:line="276"/>
      </w:pPr>
      <w:r>
        <w:t xml:space="preserve">Clean lane separation is the most important governance decision. Ambiguity over who owns what is the classic failure mode of technology-plus-services ventures. The table below proposes the division.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Function</w:t>
            </w:r>
          </w:p>
        </w:tc>
        <w:tc>
          <w:tcPr>
            <w:tcW w:type="dxa" w:w="3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Universal Regulatory</w:t>
            </w:r>
          </w:p>
        </w:tc>
        <w:tc>
          <w:tcPr>
            <w:tcW w:type="dxa" w:w="29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Your technology company</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Regulatory strategy &amp; FDA interaction</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Owns</w:t>
            </w:r>
          </w:p>
        </w:tc>
        <w:tc>
          <w:tcPr>
            <w:tcW w:type="dxa" w:w="29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Supports with data/automation</w:t>
            </w:r>
          </w:p>
        </w:tc>
      </w:tr>
      <w:tr>
        <w:tc>
          <w:tcPr>
            <w:tcW w:type="dxa" w:w="3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Final QC sign-off &amp; submission of record</w:t>
            </w:r>
          </w:p>
        </w:tc>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Owns — the signature</w:t>
            </w:r>
          </w:p>
        </w:tc>
        <w:tc>
          <w:tcPr>
            <w:tcW w:type="dxa" w:w="2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Provides tooling &amp; pre-QC checks</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Professional liability / E&amp;O</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Holds</w:t>
            </w:r>
          </w:p>
        </w:tc>
        <w:tc>
          <w:tcPr>
            <w:tcW w:type="dxa" w:w="29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Indemnified per agreement</w:t>
            </w:r>
          </w:p>
        </w:tc>
      </w:tr>
      <w:tr>
        <w:tc>
          <w:tcPr>
            <w:tcW w:type="dxa" w:w="3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Quality system &amp; SOPs</w:t>
            </w:r>
          </w:p>
        </w:tc>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Owns — system of record</w:t>
            </w:r>
          </w:p>
        </w:tc>
        <w:tc>
          <w:tcPr>
            <w:tcW w:type="dxa" w:w="2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Tooling operates inside it</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AI / automation platform &amp; engineering</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Consumes</w:t>
            </w:r>
          </w:p>
        </w:tc>
        <w:tc>
          <w:tcPr>
            <w:tcW w:type="dxa" w:w="29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Owns &amp; maintains</w:t>
            </w:r>
          </w:p>
        </w:tc>
      </w:tr>
      <w:tr>
        <w:tc>
          <w:tcPr>
            <w:tcW w:type="dxa" w:w="3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ESG NextGen transmission &amp; ACK handling</w:t>
            </w:r>
          </w:p>
        </w:tc>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Accountable for outcome</w:t>
            </w:r>
          </w:p>
        </w:tc>
        <w:tc>
          <w:tcPr>
            <w:tcW w:type="dxa" w:w="2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Builds &amp; runs the pipeline</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Client relationship &amp; contracting</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Joint — reg lead</w:t>
            </w:r>
          </w:p>
        </w:tc>
        <w:tc>
          <w:tcPr>
            <w:tcW w:type="dxa" w:w="29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Joint — platform lead</w:t>
            </w:r>
          </w:p>
        </w:tc>
      </w:tr>
      <w:tr>
        <w:tc>
          <w:tcPr>
            <w:tcW w:type="dxa" w:w="3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Data governance &amp; security</w:t>
            </w:r>
          </w:p>
        </w:tc>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Sets requirements</w:t>
            </w:r>
          </w:p>
        </w:tc>
        <w:tc>
          <w:tcPr>
            <w:tcW w:type="dxa" w:w="2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Implements &amp; operates</w:t>
            </w:r>
          </w:p>
        </w:tc>
      </w:tr>
    </w:tbl>
    <w:p>
      <w:pPr>
        <w:spacing w:after="80"/>
      </w:pPr>
    </w:p>
    <w:p>
      <w:pPr>
        <w:pStyle w:val="ListParagraph"/>
        <w:numPr>
          <w:ilvl w:val="0"/>
          <w:numId w:val="2"/>
        </w:numPr>
        <w:spacing w:after="90" w:line="276"/>
      </w:pPr>
      <w:r>
        <w:rPr>
          <w:b/>
          <w:bCs/>
        </w:rPr>
        <w:t xml:space="preserve">Legal form: </w:t>
      </w:r>
      <w:r>
        <w:t xml:space="preserve">decide early whether the JV is a separate legal entity or a contractual collaboration. A separate entity gives a clean home for liability, E&amp;O insurance, contracts, and the profit split; it is usually worth the overhead once real clients are involved.</w:t>
      </w:r>
    </w:p>
    <w:p>
      <w:pPr>
        <w:pStyle w:val="ListParagraph"/>
        <w:numPr>
          <w:ilvl w:val="0"/>
          <w:numId w:val="2"/>
        </w:numPr>
        <w:spacing w:after="90" w:line="276"/>
      </w:pPr>
      <w:r>
        <w:rPr>
          <w:b/>
          <w:bCs/>
        </w:rPr>
        <w:t xml:space="preserve">Submission of record: </w:t>
      </w:r>
      <w:r>
        <w:t xml:space="preserve">the eCTD that reaches FDA, the final QC release, and the regulatory accountability should sit unambiguously on Universal Regulatory's side. Your platform is the instrument under their SOPs, never the signatory.</w:t>
      </w:r>
    </w:p>
    <w:p>
      <w:pPr>
        <w:pStyle w:val="Heading1"/>
      </w:pPr>
      <w:r>
        <w:t xml:space="preserve">5. Service Scope and Phased Roadmap</w:t>
      </w:r>
    </w:p>
    <w:p>
      <w:pPr>
        <w:spacing w:after="160" w:line="276"/>
      </w:pPr>
      <w:r>
        <w:t xml:space="preserve">Trust in this market is earned on low-stakes work before anyone hands over a pivotal application. The roadmap below builds credibility and the platform in deliberate stages, each producing reference clients and hard productivity data to support the next.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4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Phase</w:t>
            </w:r>
          </w:p>
        </w:tc>
        <w:tc>
          <w:tcPr>
            <w:tcW w:type="dxa" w:w="2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Scope</w:t>
            </w:r>
          </w:p>
        </w:tc>
        <w:tc>
          <w:tcPr>
            <w:tcW w:type="dxa" w:w="2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Why this first</w:t>
            </w:r>
          </w:p>
        </w:tc>
        <w:tc>
          <w:tcPr>
            <w:tcW w:type="dxa" w:w="24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Proves</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0 — Wedge</w:t>
            </w:r>
          </w:p>
        </w:tc>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AEMS / E2B(R3) ICSR submissions on existing app</w:t>
            </w:r>
          </w:p>
        </w:tc>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Near-term Oct 2026 deadline; lowest stakes; you already do this</w:t>
            </w:r>
          </w:p>
        </w:tc>
        <w:tc>
          <w:tcPr>
            <w:tcW w:type="dxa" w:w="24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Automated ESG pipeline + ACK reconciliation work</w:t>
            </w:r>
          </w:p>
        </w:tc>
      </w:tr>
      <w:tr>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1 — Lifecycle</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IND maintenance, amendments, safety reports, minor sequences</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Repetitive, lower-risk, high-volume; forgiving of a new provider</w:t>
            </w:r>
          </w:p>
        </w:tc>
        <w:tc>
          <w:tcPr>
            <w:tcW w:type="dxa" w:w="24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AI assembly + human QC model; hours saved vs. baseline</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2 — Original INDs</w:t>
            </w:r>
          </w:p>
        </w:tc>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New IND compilation &amp; submission end-to-end</w:t>
            </w:r>
          </w:p>
        </w:tc>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Lighter than NDA/BLA; meaningful but survivable stakes</w:t>
            </w:r>
          </w:p>
        </w:tc>
        <w:tc>
          <w:tcPr>
            <w:tcW w:type="dxa" w:w="24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Full eCTD publishing competence; client trust</w:t>
            </w:r>
          </w:p>
        </w:tc>
      </w:tr>
      <w:tr>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3 — NDA / BLA</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Original marketing applications &amp; major sequences</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Highest value &amp; stakes; requires a track record to win</w:t>
            </w:r>
          </w:p>
        </w:tc>
        <w:tc>
          <w:tcPr>
            <w:tcW w:type="dxa" w:w="24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JV can be trusted with pivotal submissions</w:t>
            </w:r>
          </w:p>
        </w:tc>
      </w:tr>
    </w:tbl>
    <w:p>
      <w:pPr>
        <w:spacing w:after="80"/>
      </w:pPr>
    </w:p>
    <w:p>
      <w:pPr>
        <w:spacing w:after="160" w:line="276"/>
      </w:pPr>
      <w:r>
        <w:t xml:space="preserve">Run v4.0 readiness as a parallel track across all phases so the JV is positioned ahead of the mandatory cutover rather than scrambling at it.</w:t>
      </w:r>
    </w:p>
    <w:p>
      <w:pPr>
        <w:pStyle w:val="Heading1"/>
      </w:pPr>
      <w:r>
        <w:t xml:space="preserve">6. Tooling Stack — Build vs. License</w:t>
      </w:r>
    </w:p>
    <w:p>
      <w:pPr>
        <w:spacing w:after="160" w:line="276"/>
      </w:pPr>
      <w:r>
        <w:t xml:space="preserve">The guiding principle: build where AI gives you genuine leverage and the work is checkable against published specs; license where another party's validated reputation reduces your risk. Trying to out-build a mature eCTD validator on day one is not where the JV's advantage lies.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Component</w:t>
            </w:r>
          </w:p>
        </w:tc>
        <w:tc>
          <w:tcPr>
            <w:tcW w:type="dxa" w:w="2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Recommendation</w:t>
            </w:r>
          </w:p>
        </w:tc>
        <w:tc>
          <w:tcPr>
            <w:tcW w:type="dxa" w:w="41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Rationale</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Document intake, parsing, AI assembly</w:t>
            </w:r>
          </w:p>
        </w:tc>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Build</w:t>
            </w:r>
          </w:p>
        </w:tc>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Core differentiator; AI compresses the labor that is the incumbents' main cost</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eCTD backbone / sequence generation</w:t>
            </w:r>
          </w:p>
        </w:tc>
        <w:tc>
          <w:tcPr>
            <w:tcW w:type="dxa" w:w="22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Build (carefully)</w:t>
            </w:r>
          </w:p>
        </w:tc>
        <w:tc>
          <w:tcPr>
            <w:tcW w:type="dxa" w:w="41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Deterministic and spec-defined; AI-assisted build is now tractable</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Final eCTD validation gate</w:t>
            </w:r>
          </w:p>
        </w:tc>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License</w:t>
            </w:r>
          </w:p>
        </w:tc>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Run a proven validator (e.g. eValidator / GlobalSubmit) so a trusted tool, not your own code, gates pivotal submissions</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ESG NextGen transmission</w:t>
            </w:r>
          </w:p>
        </w:tc>
        <w:tc>
          <w:tcPr>
            <w:tcW w:type="dxa" w:w="22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Build on FDA API</w:t>
            </w:r>
          </w:p>
        </w:tc>
        <w:tc>
          <w:tcPr>
            <w:tcW w:type="dxa" w:w="41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FDA publishes the API spec; thin, well-specified integration layer</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ACK ingestion &amp; state tracking</w:t>
            </w:r>
          </w:p>
        </w:tc>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Build</w:t>
            </w:r>
          </w:p>
        </w:tc>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Where the real submission-workflow engineering lives; you have a head start</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PDF rendering / compliance</w:t>
            </w:r>
          </w:p>
        </w:tc>
        <w:tc>
          <w:tcPr>
            <w:tcW w:type="dxa" w:w="22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Build or buy</w:t>
            </w:r>
          </w:p>
        </w:tc>
        <w:tc>
          <w:tcPr>
            <w:tcW w:type="dxa" w:w="41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Well-specified; buy if a reliable component is cheaper than maintaining one</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Study-data standards (SDTM/ADaM/define.xml)</w:t>
            </w:r>
          </w:p>
        </w:tc>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Defer / partner</w:t>
            </w:r>
          </w:p>
        </w:tc>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Specialized; out of scope until clients need it — partner initially</w:t>
            </w:r>
          </w:p>
        </w:tc>
      </w:tr>
    </w:tbl>
    <w:p>
      <w:pPr>
        <w:spacing w:after="80"/>
      </w:pPr>
    </w:p>
    <w:p>
      <w:pPr>
        <w:spacing w:after="160" w:line="276"/>
      </w:pPr>
      <w:r>
        <w:rPr>
          <w:b/>
          <w:bCs/>
        </w:rPr>
        <w:t xml:space="preserve">A note on AI in a validated workflow: </w:t>
      </w:r>
      <w:r>
        <w:t xml:space="preserve">use AI aggressively to generate the conformance test corpus, not just the production code. Automated conformance tests double as operational-qualification evidence, which turns AI velocity into a compliance asset instead of a compliance liability.</w:t>
      </w:r>
    </w:p>
    <w:p>
      <w:pPr>
        <w:pStyle w:val="Heading1"/>
      </w:pPr>
      <w:r>
        <w:t xml:space="preserve">7. Quality System and Regulatory Compliance</w:t>
      </w:r>
    </w:p>
    <w:p>
      <w:pPr>
        <w:pStyle w:val="ListParagraph"/>
        <w:numPr>
          <w:ilvl w:val="0"/>
          <w:numId w:val="2"/>
        </w:numPr>
        <w:spacing w:after="90" w:line="276"/>
      </w:pPr>
      <w:r>
        <w:rPr>
          <w:b/>
          <w:bCs/>
        </w:rPr>
        <w:t xml:space="preserve">One quality system, not two. </w:t>
      </w:r>
      <w:r>
        <w:t xml:space="preserve">Universal Regulatory almost certainly already operates a quality system with SOPs, training records, and QC procedures. Plug the platform into theirs as a controlled, change-managed tool rather than standing up a parallel system.</w:t>
      </w:r>
    </w:p>
    <w:p>
      <w:pPr>
        <w:pStyle w:val="ListParagraph"/>
        <w:numPr>
          <w:ilvl w:val="0"/>
          <w:numId w:val="2"/>
        </w:numPr>
        <w:spacing w:after="90" w:line="276"/>
      </w:pPr>
      <w:r>
        <w:rPr>
          <w:b/>
          <w:bCs/>
        </w:rPr>
        <w:t xml:space="preserve">Vendor-qualification readiness. </w:t>
      </w:r>
      <w:r>
        <w:t xml:space="preserve">Sponsors will audit the JV before trusting it. Build the evidence package early: documented SDLC, change control, access controls, audit trails on records produced, and security posture.</w:t>
      </w:r>
    </w:p>
    <w:p>
      <w:pPr>
        <w:pStyle w:val="ListParagraph"/>
        <w:numPr>
          <w:ilvl w:val="0"/>
          <w:numId w:val="2"/>
        </w:numPr>
        <w:spacing w:after="90" w:line="276"/>
      </w:pPr>
      <w:r>
        <w:rPr>
          <w:b/>
          <w:bCs/>
        </w:rPr>
        <w:t xml:space="preserve">Part 11 where it applies. </w:t>
      </w:r>
      <w:r>
        <w:t xml:space="preserve">Even as a service provider, the electronic records you generate and manage on a sponsor's behalf carry 21 CFR Part 11 expectations — audit trails, access control, and record integrity. Design for these from the start.</w:t>
      </w:r>
    </w:p>
    <w:p>
      <w:pPr>
        <w:pStyle w:val="ListParagraph"/>
        <w:numPr>
          <w:ilvl w:val="0"/>
          <w:numId w:val="2"/>
        </w:numPr>
        <w:spacing w:after="90" w:line="276"/>
      </w:pPr>
      <w:r>
        <w:rPr>
          <w:b/>
          <w:bCs/>
        </w:rPr>
        <w:t xml:space="preserve">Controlled AI, not vibe-coded systems. </w:t>
      </w:r>
      <w:r>
        <w:t xml:space="preserve">A system touching regulatory submissions must be reproducible and demonstrably controlled. “The model wrote it” is not an answer an auditor accepts; human review, sign-off, and versioned, traceable changes are non-negotiable.</w:t>
      </w:r>
    </w:p>
    <w:p>
      <w:pPr>
        <w:pStyle w:val="Heading1"/>
      </w:pPr>
      <w:r>
        <w:t xml:space="preserve">8. Data Governance and Confidentiality</w:t>
      </w:r>
    </w:p>
    <w:p>
      <w:pPr>
        <w:spacing w:after="160" w:line="276"/>
      </w:pPr>
      <w:r>
        <w:t xml:space="preserve">Regulatory dossiers — CMC details, clinical data, proprietary formulations — are among the most sensitive documents a sponsor owns. “We run it through AI” can be an instant dealbreaker unless the JV can demonstrate airtight governance. Treat this as a first-class part of both the architecture and the sales pitch, not an afterthought.</w:t>
      </w:r>
    </w:p>
    <w:p>
      <w:pPr>
        <w:pStyle w:val="ListParagraph"/>
        <w:numPr>
          <w:ilvl w:val="0"/>
          <w:numId w:val="2"/>
        </w:numPr>
        <w:spacing w:after="90" w:line="276"/>
      </w:pPr>
      <w:r>
        <w:rPr>
          <w:b/>
          <w:bCs/>
        </w:rPr>
        <w:t xml:space="preserve">No-training guarantees: </w:t>
      </w:r>
      <w:r>
        <w:t xml:space="preserve">ensure sponsor content is never used to train third-party models; prefer enterprise/private model endpoints with contractual no-retention terms.</w:t>
      </w:r>
    </w:p>
    <w:p>
      <w:pPr>
        <w:pStyle w:val="ListParagraph"/>
        <w:numPr>
          <w:ilvl w:val="0"/>
          <w:numId w:val="2"/>
        </w:numPr>
        <w:spacing w:after="90" w:line="276"/>
      </w:pPr>
      <w:r>
        <w:rPr>
          <w:b/>
          <w:bCs/>
        </w:rPr>
        <w:t xml:space="preserve">Data isolation: </w:t>
      </w:r>
      <w:r>
        <w:t xml:space="preserve">per-client segregation, encryption in transit and at rest, and strict access controls with full audit logging.</w:t>
      </w:r>
    </w:p>
    <w:p>
      <w:pPr>
        <w:pStyle w:val="ListParagraph"/>
        <w:numPr>
          <w:ilvl w:val="0"/>
          <w:numId w:val="2"/>
        </w:numPr>
        <w:spacing w:after="90" w:line="276"/>
      </w:pPr>
      <w:r>
        <w:rPr>
          <w:b/>
          <w:bCs/>
        </w:rPr>
        <w:t xml:space="preserve">Deployment posture: </w:t>
      </w:r>
      <w:r>
        <w:t xml:space="preserve">be ready to offer private or in-tenant processing for clients who will not accept shared infrastructure.</w:t>
      </w:r>
    </w:p>
    <w:p>
      <w:pPr>
        <w:pStyle w:val="ListParagraph"/>
        <w:numPr>
          <w:ilvl w:val="0"/>
          <w:numId w:val="2"/>
        </w:numPr>
        <w:spacing w:after="90" w:line="276"/>
      </w:pPr>
      <w:r>
        <w:rPr>
          <w:b/>
          <w:bCs/>
        </w:rPr>
        <w:t xml:space="preserve">Contractual clarity: </w:t>
      </w:r>
      <w:r>
        <w:t xml:space="preserve">explicit confidentiality, data-handling, and breach-notification terms in every client agreement, mirrored in the JV's vendor relationships.</w:t>
      </w:r>
    </w:p>
    <w:p>
      <w:pPr>
        <w:pStyle w:val="Heading1"/>
      </w:pPr>
      <w:r>
        <w:t xml:space="preserve">9. Commercial Model and Economics</w:t>
      </w:r>
    </w:p>
    <w:p>
      <w:pPr>
        <w:spacing w:after="160" w:line="276"/>
      </w:pPr>
      <w:r>
        <w:rPr>
          <w:b/>
          <w:bCs/>
        </w:rPr>
        <w:t xml:space="preserve">The economics tension is the single most important thing to resolve before the first client. </w:t>
      </w:r>
      <w:r>
        <w:t xml:space="preserve">Traditional regulatory-operations firms price on human effort — per hour or per submission scaled to headcount. The JV's entire value proposition is collapsing those hours. If it prices the old way, AI success cannibalizes JV revenue and you have built a machine that argues itself out of money.</w:t>
      </w:r>
    </w:p>
    <w:p>
      <w:pPr>
        <w:pStyle w:val="ListParagraph"/>
        <w:numPr>
          <w:ilvl w:val="0"/>
          <w:numId w:val="2"/>
        </w:numPr>
        <w:spacing w:after="90" w:line="276"/>
      </w:pPr>
      <w:r>
        <w:rPr>
          <w:b/>
          <w:bCs/>
        </w:rPr>
        <w:t xml:space="preserve">Price on value, not hours. </w:t>
      </w:r>
      <w:r>
        <w:t xml:space="preserve">Move to fixed per-submission or subscription/retainer pricing so margin accrues to the JV as automation improves, rather than shrinking with billable time.</w:t>
      </w:r>
    </w:p>
    <w:p>
      <w:pPr>
        <w:pStyle w:val="ListParagraph"/>
        <w:numPr>
          <w:ilvl w:val="0"/>
          <w:numId w:val="2"/>
        </w:numPr>
        <w:spacing w:after="90" w:line="276"/>
      </w:pPr>
      <w:r>
        <w:rPr>
          <w:b/>
          <w:bCs/>
        </w:rPr>
        <w:t xml:space="preserve">Split that credits the platform. </w:t>
      </w:r>
      <w:r>
        <w:t xml:space="preserve">The profit-share between the partners should reflect software-style leverage, not a labor pass-through. Universal Regulatory's instinct will be to bill hours; align on this explicitly and in writing.</w:t>
      </w:r>
    </w:p>
    <w:p>
      <w:pPr>
        <w:pStyle w:val="ListParagraph"/>
        <w:numPr>
          <w:ilvl w:val="0"/>
          <w:numId w:val="2"/>
        </w:numPr>
        <w:spacing w:after="90" w:line="276"/>
      </w:pPr>
      <w:r>
        <w:rPr>
          <w:b/>
          <w:bCs/>
        </w:rPr>
        <w:t xml:space="preserve">Use productivity data as the proof. </w:t>
      </w:r>
      <w:r>
        <w:t xml:space="preserve">Each phase should measure hours-saved versus the partner's current manual baseline. That number justifies both the pricing model and the JV split — capture it from Phase 0.</w:t>
      </w:r>
    </w:p>
    <w:p>
      <w:pPr>
        <w:pStyle w:val="ListParagraph"/>
        <w:numPr>
          <w:ilvl w:val="0"/>
          <w:numId w:val="2"/>
        </w:numPr>
        <w:spacing w:after="90" w:line="276"/>
      </w:pPr>
      <w:r>
        <w:rPr>
          <w:b/>
          <w:bCs/>
        </w:rPr>
        <w:t xml:space="preserve">Beachhead via existing clients. </w:t>
      </w:r>
      <w:r>
        <w:t xml:space="preserve">The biggest go-to-market gift of the JV is that you are not cold-starting trust: source the first pilots from Universal Regulatory's existing relationships.</w:t>
      </w:r>
    </w:p>
    <w:p>
      <w:pPr>
        <w:pStyle w:val="Heading1"/>
      </w:pPr>
      <w:r>
        <w:t xml:space="preserve">10. Key Risks and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Risk</w:t>
            </w:r>
          </w:p>
        </w:tc>
        <w:tc>
          <w:tcPr>
            <w:tcW w:type="dxa" w:w="54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pPr>
            <w:r>
              <w:rPr>
                <w:b/>
                <w:bCs/>
                <w:color w:val="FFFFFF"/>
              </w:rPr>
              <w:t xml:space="preserve">Mitigation</w:t>
            </w:r>
          </w:p>
        </w:tc>
      </w:tr>
      <w:tr>
        <w:tc>
          <w:tcPr>
            <w:tcW w:type="dxa" w:w="3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Hourly-pricing reflex cannibalizes the AI advantage</w:t>
            </w:r>
          </w:p>
        </w:tc>
        <w:tc>
          <w:tcPr>
            <w:tcW w:type="dxa" w:w="54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Lock in value-based pricing and an aligned JV split before first client</w:t>
            </w:r>
          </w:p>
        </w:tc>
      </w:tr>
      <w:tr>
        <w:tc>
          <w:tcPr>
            <w:tcW w:type="dxa" w:w="39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IP ownership disputes if the JV dissolves</w:t>
            </w:r>
          </w:p>
        </w:tc>
        <w:tc>
          <w:tcPr>
            <w:tcW w:type="dxa" w:w="54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Pre-agree ownership: license your platform into the JV; they retain client relationships/methodology</w:t>
            </w:r>
          </w:p>
        </w:tc>
      </w:tr>
      <w:tr>
        <w:tc>
          <w:tcPr>
            <w:tcW w:type="dxa" w:w="3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A submission error damages reputation &amp; triggers liability</w:t>
            </w:r>
          </w:p>
        </w:tc>
        <w:tc>
          <w:tcPr>
            <w:tcW w:type="dxa" w:w="54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License a proven final validator; Universal Regulatory holds QC sign-off and E&amp;O</w:t>
            </w:r>
          </w:p>
        </w:tc>
      </w:tr>
      <w:tr>
        <w:tc>
          <w:tcPr>
            <w:tcW w:type="dxa" w:w="39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Sponsor objections to AI handling sensitive data</w:t>
            </w:r>
          </w:p>
        </w:tc>
        <w:tc>
          <w:tcPr>
            <w:tcW w:type="dxa" w:w="54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No-training guarantees, data isolation, private-deployment option, contractual terms</w:t>
            </w:r>
          </w:p>
        </w:tc>
      </w:tr>
      <w:tr>
        <w:tc>
          <w:tcPr>
            <w:tcW w:type="dxa" w:w="3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Trust gap as a new provider</w:t>
            </w:r>
          </w:p>
        </w:tc>
        <w:tc>
          <w:tcPr>
            <w:tcW w:type="dxa" w:w="54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Phased roadmap starting with low-stakes work; leverage partner's references</w:t>
            </w:r>
          </w:p>
        </w:tc>
      </w:tr>
      <w:tr>
        <w:tc>
          <w:tcPr>
            <w:tcW w:type="dxa" w:w="39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eCTD v4.0 transition catches the JV flat-footed</w:t>
            </w:r>
          </w:p>
        </w:tc>
        <w:tc>
          <w:tcPr>
            <w:tcW w:type="dxa" w:w="54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64"/>
            </w:pPr>
            <w:r>
              <w:rPr>
                <w:b w:val="false"/>
                <w:bCs w:val="false"/>
              </w:rPr>
              <w:t xml:space="preserve">Build dual v3.2.2 / v4.0 capability from day one as a differentiator</w:t>
            </w:r>
          </w:p>
        </w:tc>
      </w:tr>
      <w:tr>
        <w:tc>
          <w:tcPr>
            <w:tcW w:type="dxa" w:w="3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Over-investing in build vs. license</w:t>
            </w:r>
          </w:p>
        </w:tc>
        <w:tc>
          <w:tcPr>
            <w:tcW w:type="dxa" w:w="54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Apply the build/license discipline in Section 6; defer study-data tooling</w:t>
            </w:r>
          </w:p>
        </w:tc>
      </w:tr>
    </w:tbl>
    <w:p>
      <w:pPr>
        <w:pStyle w:val="Heading1"/>
      </w:pPr>
      <w:r>
        <w:t xml:space="preserve">11. Open Decisions and Next Steps</w:t>
      </w:r>
    </w:p>
    <w:p>
      <w:pPr>
        <w:spacing w:after="160" w:line="276"/>
      </w:pPr>
      <w:r>
        <w:t xml:space="preserve">The following are the decisions that should be settled with Universal Regulatory before significant build investment. They are structural and commercial, not technical — which is precisely why they matter most.</w:t>
      </w:r>
    </w:p>
    <w:p>
      <w:pPr>
        <w:pStyle w:val="ListParagraph"/>
        <w:numPr>
          <w:ilvl w:val="0"/>
          <w:numId w:val="2"/>
        </w:numPr>
        <w:spacing w:after="90" w:line="276"/>
      </w:pPr>
      <w:r>
        <w:rPr>
          <w:b/>
          <w:bCs/>
        </w:rPr>
        <w:t xml:space="preserve">Legal form of the JV: </w:t>
      </w:r>
      <w:r>
        <w:t xml:space="preserve">separate entity vs. contractual collaboration, and where liability and E&amp;O sit.</w:t>
      </w:r>
    </w:p>
    <w:p>
      <w:pPr>
        <w:pStyle w:val="ListParagraph"/>
        <w:numPr>
          <w:ilvl w:val="0"/>
          <w:numId w:val="2"/>
        </w:numPr>
        <w:spacing w:after="90" w:line="276"/>
      </w:pPr>
      <w:r>
        <w:rPr>
          <w:b/>
          <w:bCs/>
        </w:rPr>
        <w:t xml:space="preserve">IP ownership and exit terms: </w:t>
      </w:r>
      <w:r>
        <w:t xml:space="preserve">who owns the platform, on what license, and what each party keeps if the venture unwinds.</w:t>
      </w:r>
    </w:p>
    <w:p>
      <w:pPr>
        <w:pStyle w:val="ListParagraph"/>
        <w:numPr>
          <w:ilvl w:val="0"/>
          <w:numId w:val="2"/>
        </w:numPr>
        <w:spacing w:after="90" w:line="276"/>
      </w:pPr>
      <w:r>
        <w:rPr>
          <w:b/>
          <w:bCs/>
        </w:rPr>
        <w:t xml:space="preserve">Pricing and profit-split model: </w:t>
      </w:r>
      <w:r>
        <w:t xml:space="preserve">value-based pricing and a split that credits automation leverage.</w:t>
      </w:r>
    </w:p>
    <w:p>
      <w:pPr>
        <w:pStyle w:val="ListParagraph"/>
        <w:numPr>
          <w:ilvl w:val="0"/>
          <w:numId w:val="2"/>
        </w:numPr>
        <w:spacing w:after="90" w:line="276"/>
      </w:pPr>
      <w:r>
        <w:rPr>
          <w:b/>
          <w:bCs/>
        </w:rPr>
        <w:t xml:space="preserve">Quality-system integration: </w:t>
      </w:r>
      <w:r>
        <w:t xml:space="preserve">confirm the platform operates inside Universal Regulatory's existing SOPs.</w:t>
      </w:r>
    </w:p>
    <w:p>
      <w:pPr>
        <w:pStyle w:val="ListParagraph"/>
        <w:numPr>
          <w:ilvl w:val="0"/>
          <w:numId w:val="2"/>
        </w:numPr>
        <w:spacing w:after="90" w:line="276"/>
      </w:pPr>
      <w:r>
        <w:rPr>
          <w:b/>
          <w:bCs/>
        </w:rPr>
        <w:t xml:space="preserve">Pilot selection: </w:t>
      </w:r>
      <w:r>
        <w:t xml:space="preserve">choose the Phase 0/1 beachhead client and define the hours-saved baseline to measure against.</w:t>
      </w:r>
    </w:p>
    <w:p>
      <w:pPr>
        <w:pStyle w:val="ListParagraph"/>
        <w:numPr>
          <w:ilvl w:val="0"/>
          <w:numId w:val="2"/>
        </w:numPr>
        <w:spacing w:after="90" w:line="276"/>
      </w:pPr>
      <w:r>
        <w:rPr>
          <w:b/>
          <w:bCs/>
        </w:rPr>
        <w:t xml:space="preserve">Build vs. license sign-off: </w:t>
      </w:r>
      <w:r>
        <w:t xml:space="preserve">ratify the Section 6 stack, especially licensing the final validation gate.</w:t>
      </w:r>
    </w:p>
    <w:p>
      <w:pPr>
        <w:spacing w:after="120"/>
      </w:pPr>
    </w:p>
    <w:p>
      <w:pPr>
        <w:spacing w:after="160" w:line="276"/>
      </w:pPr>
      <w:r>
        <w:rPr>
          <w:b/>
          <w:bCs/>
        </w:rPr>
        <w:t xml:space="preserve">Recommended immediate step: </w:t>
      </w:r>
      <w:r>
        <w:t xml:space="preserve">stand up the Phase 0 automated ESG NextGen pipeline against the October 2026 AEMS / E2B(R3) deadline using the existing safety-reporting app. It is the lowest-risk way to prove the automation, generate the first productivity numbers, and give the JV a live, deadline-driven reason to exist.</w:t>
      </w:r>
    </w:p>
    <w:p>
      <w:pPr>
        <w:spacing w:after="200"/>
      </w:pPr>
    </w:p>
    <w:p>
      <w:pPr>
        <w:pBdr>
          <w:top w:val="single" w:color="2E75B6" w:sz="4" w:space="6"/>
        </w:pBdr>
        <w:spacing w:after="60" w:before="120"/>
      </w:pPr>
      <w:r>
        <w:rPr>
          <w:b/>
          <w:bCs/>
          <w:color w:val="1F4E79"/>
          <w:sz w:val="20"/>
          <w:szCs w:val="20"/>
        </w:rPr>
        <w:t xml:space="preserve">Sources — current FDA references</w:t>
      </w:r>
    </w:p>
    <w:p>
      <w:pPr>
        <w:spacing w:after="40"/>
      </w:pPr>
      <w:r>
        <w:rPr>
          <w:sz w:val="18"/>
          <w:szCs w:val="18"/>
        </w:rPr>
        <w:t xml:space="preserve">FDA ESG NextGen: </w:t>
      </w:r>
      <w:hyperlink w:history="1" r:id="rIdqbn_3hpg-64t_-n4q3w9g">
        <w:r>
          <w:rPr>
            <w:rStyle w:val="Hyperlink"/>
            <w:sz w:val="18"/>
            <w:szCs w:val="18"/>
          </w:rPr>
          <w:t xml:space="preserve">https://www.fda.gov/industry/electronic-submissions-gateway-next-generation-esg-nextgen</w:t>
        </w:r>
      </w:hyperlink>
    </w:p>
    <w:p>
      <w:pPr>
        <w:spacing w:after="40"/>
      </w:pPr>
      <w:r>
        <w:rPr>
          <w:sz w:val="18"/>
          <w:szCs w:val="18"/>
        </w:rPr>
        <w:t xml:space="preserve">FDA AEMS / E2B(R3) standards: </w:t>
      </w:r>
      <w:hyperlink w:history="1" r:id="rIdpwatgzr8jjgmntxmqgq1s">
        <w:r>
          <w:rPr>
            <w:rStyle w:val="Hyperlink"/>
            <w:sz w:val="18"/>
            <w:szCs w:val="18"/>
          </w:rPr>
          <w:t xml:space="preserve">https://www.fda.gov/drugs/fda-adverse-event-monitoring-system-aems/fda-adverse-event-monitoring-system-aems-e2br3-standards</w:t>
        </w:r>
      </w:hyperlink>
    </w:p>
    <w:p>
      <w:pPr>
        <w:spacing w:after="40"/>
      </w:pPr>
      <w:r>
        <w:rPr>
          <w:sz w:val="18"/>
          <w:szCs w:val="18"/>
        </w:rPr>
        <w:t xml:space="preserve">Federal Register — E2B(R3) postmarketing ICSR mandate (Apr 6, 2026): </w:t>
      </w:r>
      <w:hyperlink w:history="1" r:id="rIdsaolixwnkoivyxul9osap">
        <w:r>
          <w:rPr>
            <w:rStyle w:val="Hyperlink"/>
            <w:sz w:val="18"/>
            <w:szCs w:val="18"/>
          </w:rPr>
          <w:t xml:space="preserve">https://www.federalregister.gov/documents/2026/04/06/2026-06660/electronic-submission-of-postmarketing-individual-case-safety-reports-to-the-food-and-drug</w:t>
        </w:r>
      </w:hyperlink>
    </w:p>
    <w:p>
      <w:pPr>
        <w:spacing w:after="40"/>
      </w:pPr>
      <w:r>
        <w:rPr>
          <w:sz w:val="18"/>
          <w:szCs w:val="18"/>
        </w:rPr>
        <w:t xml:space="preserve">FDA eCTD v4.0 submission standards: </w:t>
      </w:r>
      <w:hyperlink w:history="1" r:id="rIdl8i1ciyyfykkeuantcaqp">
        <w:r>
          <w:rPr>
            <w:rStyle w:val="Hyperlink"/>
            <w:sz w:val="18"/>
            <w:szCs w:val="18"/>
          </w:rPr>
          <w:t xml:space="preserve">https://www.fda.gov/drugs/electronic-regulatory-submission-and-review/ectd-submission-standards-ectd-v40-and-regional-m1</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JV Operating Blueprint — Confidential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7EE" w:sz="4"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bn_3hpg-64t_-n4q3w9g" Type="http://schemas.openxmlformats.org/officeDocument/2006/relationships/hyperlink" Target="https://www.fda.gov/industry/electronic-submissions-gateway-next-generation-esg-nextgen" TargetMode="External"/><Relationship Id="rIdpwatgzr8jjgmntxmqgq1s" Type="http://schemas.openxmlformats.org/officeDocument/2006/relationships/hyperlink" Target="https://www.fda.gov/drugs/fda-adverse-event-monitoring-system-aems/fda-adverse-event-monitoring-system-aems-e2br3-standards" TargetMode="External"/><Relationship Id="rIdsaolixwnkoivyxul9osap" Type="http://schemas.openxmlformats.org/officeDocument/2006/relationships/hyperlink" Target="https://www.federalregister.gov/documents/2026/04/06/2026-06660/electronic-submission-of-postmarketing-individual-case-safety-reports-to-the-food-and-drug" TargetMode="External"/><Relationship Id="rIdl8i1ciyyfykkeuantcaqp" Type="http://schemas.openxmlformats.org/officeDocument/2006/relationships/hyperlink" Target="https://www.fda.gov/drugs/electronic-regulatory-submission-and-review/ectd-submission-standards-ectd-v40-and-regional-m1"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2026-06-27T02:51:00.808Z</dcterms:created>
  <dcterms:modified xsi:type="dcterms:W3CDTF">2026-06-27T02:51:00.808Z</dcterms:modified>
</cp:coreProperties>
</file>

<file path=docProps/custom.xml><?xml version="1.0" encoding="utf-8"?>
<Properties xmlns="http://schemas.openxmlformats.org/officeDocument/2006/custom-properties" xmlns:vt="http://schemas.openxmlformats.org/officeDocument/2006/docPropsVTypes"/>
</file>