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50"/>
          <w:szCs w:val="50"/>
        </w:rPr>
        <w:t xml:space="preserve">Parallelization Map</w:t>
      </w:r>
    </w:p>
    <w:p>
      <w:pPr>
        <w:spacing w:before="140"/>
        <w:jc w:val="center"/>
      </w:pPr>
      <w:r>
        <w:rPr>
          <w:color w:val="2E75B6"/>
          <w:sz w:val="27"/>
          <w:szCs w:val="27"/>
        </w:rPr>
        <w:t xml:space="preserve">What to build now, prototype, or hold — against Phase 0</w:t>
      </w:r>
    </w:p>
    <w:p>
      <w:pPr>
        <w:spacing w:before="80"/>
        <w:jc w:val="center"/>
      </w:pPr>
      <w:r>
        <w:rPr>
          <w:i/>
          <w:iCs/>
          <w:sz w:val="20"/>
          <w:szCs w:val="20"/>
        </w:rPr>
        <w:t xml:space="preserve">Companion to the Architecture Specification and Phase 0 plan</w:t>
      </w:r>
    </w:p>
    <w:p>
      <w:pPr>
        <w:spacing w:before="1300"/>
        <w:jc w:val="center"/>
      </w:pPr>
      <w:r>
        <w:rPr>
          <w:b/>
          <w:bCs/>
          <w:sz w:val="21"/>
          <w:szCs w:val="21"/>
        </w:rPr>
        <w:t xml:space="preserve">Joint venture: your technology company × Universal Regulatory</w:t>
      </w:r>
    </w:p>
    <w:p>
      <w:pPr>
        <w:spacing w:before="700"/>
        <w:jc w:val="center"/>
      </w:pPr>
      <w:r>
        <w:rPr>
          <w:color w:val="808080"/>
          <w:sz w:val="19"/>
          <w:szCs w:val="19"/>
        </w:rPr>
        <w:t xml:space="preserve">Version 0.1 (Draft)  •  June 2026  •  CONFIDENTIAL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50" w:line="274"/>
      </w:pPr>
      <w:r>
        <w:t xml:space="preserve">This map answers a single question: with Phase 0 underway, what may the team build in parallel, and what must wait? It classifies every architecture component into three tiers so engineering effort is spent where it compounds — and not where it risks building on unvalidated assumptions or unsettled JV terms.</w:t>
      </w:r>
    </w:p>
    <w:p>
      <w:pPr>
        <w:pStyle w:val="Heading1"/>
      </w:pPr>
      <w:r>
        <w:t xml:space="preserve">2. How to read the three tiers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Green-light now: </w:t>
      </w:r>
      <w:r>
        <w:t xml:space="preserve">shared foundations Phase 0 needs anyway; building them well now accelerates every later phase. Build under the gates.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Prototype only: </w:t>
      </w:r>
      <w:r>
        <w:t xml:space="preserve">the highest-risk later capabilities. Spike them as throwaway research to retire technical risk and sharpen estimates — but do not productionize until Phase 0 validates the model.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Gated on Phase 0: </w:t>
      </w:r>
      <w:r>
        <w:t xml:space="preserve">full production build is held until Phase 0 proves the hours-saved model and the gates clear; these then scale into Phases 1–3.</w:t>
      </w:r>
    </w:p>
    <w:p>
      <w:pPr>
        <w:pStyle w:val="Heading1"/>
        <w:pageBreakBefore/>
      </w:pPr>
      <w:r>
        <w:t xml:space="preserve">3. The Map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591050"/>
            <wp:effectExtent t="0" r="0" b="0" l="0"/>
            <wp:docPr id="1" name="parallel_map.png" descr="Parallelization map" title="Parallelization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08080"/>
          <w:sz w:val="17"/>
          <w:szCs w:val="17"/>
        </w:rPr>
        <w:t xml:space="preserve">Figure 1 — Parallelization map. Gold dot marks the Phase 0 core (Mod D).</w:t>
      </w:r>
    </w:p>
    <w:p>
      <w:pPr>
        <w:pStyle w:val="Heading1"/>
        <w:pageBreakBefore/>
      </w:pPr>
      <w:r>
        <w:t xml:space="preserve">4. Tier 1 — Green-Light Now</w:t>
      </w:r>
    </w:p>
    <w:p>
      <w:pPr>
        <w:spacing w:after="150" w:line="274"/>
      </w:pPr>
      <w:r>
        <w:t xml:space="preserve">These are foundational and largely required for Phase 0 itself; parallel investment is not waste, it is the platform. All of it still runs under Gates G1 (JV/IP) and G2 (validation).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Why build now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API Gateway / BFF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Entry point and tenant routing for every service, including Phase 0.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Identity &amp; Access (RBAC · MFA)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Required for Phase 0; foundational to all access control and Part 11.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Immutable Audit + e-Signature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Phase 0 core; the Part 11 backbone reused everywhere.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Secrets · KMS/HSM · ESG cert store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Phase 0 needs the non-repudiation certificate; foundational key management.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Operational visibility from day one; cheap to embed, costly to retrofit.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Data layer (Postgres · object · audit)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Phase 0 persistence; the shared data substrate.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Tenant isolation middleware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Isolation must be designed in, not added later (NFR-SEC-03).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CI/CD + validated environments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Phase 0 ships through these; enables the validated SDLC (WS4).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AI model-abstraction layer (plumbing)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The governed gateway for AI; build the plumbing now so features plug in later.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D — Submission &amp; ESG Gateway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This IS Phase 0 — the ESG client, state machine, and ACK reconciliation.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F (core) — state machine + minimal UI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Operator UI and orchestration needed to run Phase 0.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H (core) — records + audit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Records and audit trail for the Phase 0 submissions.</w:t>
            </w:r>
          </w:p>
        </w:tc>
      </w:tr>
    </w:tbl>
    <w:p>
      <w:pPr>
        <w:pStyle w:val="Heading1"/>
        <w:pageBreakBefore/>
      </w:pPr>
      <w:r>
        <w:t xml:space="preserve">5. Tier 2 — Prototype Only</w:t>
      </w:r>
    </w:p>
    <w:p>
      <w:pPr>
        <w:spacing w:after="150" w:line="274"/>
      </w:pPr>
      <w:r>
        <w:t xml:space="preserve">The hardest, highest-risk capabilities. Prototype them to learn and estimate — but keep them throwaway, with no validation burden, until Phase 0 earns the right to scale.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Risk to retire via prototype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B — Publishing &amp; eCTD compilation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eCTD backbone, lifecycle ops, PDF conformance, hyperlinking — the deepest technical risk.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C — Validator adapter + viewer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Integration pattern with the licensed validation engine; lifecycle rendering.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G — AI assembly + pre-QC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Whether AI actually classifies/assembles reliably enough to save hours.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eCTD v4.0 output (research)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Forward-looking format; explore ahead of the mandatory cutover.</w:t>
            </w:r>
          </w:p>
        </w:tc>
      </w:tr>
    </w:tbl>
    <w:p>
      <w:pPr>
        <w:spacing w:after="110"/>
      </w:pPr>
    </w:p>
    <w:p>
      <w:pPr>
        <w:spacing w:after="150" w:line="274"/>
      </w:pPr>
      <w:r>
        <w:rPr>
          <w:b/>
          <w:bCs/>
        </w:rPr>
        <w:t xml:space="preserve">Guardrail: </w:t>
      </w:r>
      <w:r>
        <w:t xml:space="preserve">prototypes are exempt from CSV only because they never ship. The moment a prototype is destined for production, it re-enters the validation framework and is rebuilt to standard.</w:t>
      </w:r>
    </w:p>
    <w:p>
      <w:pPr>
        <w:pStyle w:val="Heading1"/>
        <w:pageBreakBefore/>
      </w:pPr>
      <w:r>
        <w:t xml:space="preserve">6. Tier 3 — Gated on Phase 0</w:t>
      </w:r>
    </w:p>
    <w:p>
      <w:pPr>
        <w:spacing w:after="150" w:line="274"/>
      </w:pPr>
      <w:r>
        <w:t xml:space="preserve">Full production build is held until Phase 0 validates the model and the gates clear. Holding these protects focus on the deadline-critical wedge and avoids building extensively on unproven assumptions.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Why gated / unlock condition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A — Authoring &amp; Templating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Needed from Phase 2; lower risk, so build (not prototype) once Phase 0 clears.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E — Knowledge / RAG corpus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Full knowledge base and retrieval corpus; build with the AI features it serves.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F (full) — workflow + dashboards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Project management, QC workflow, SLA dashboards; beyond the Phase 0 minimum.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I — Client portal &amp; collaboration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Sponsor-facing; valuable once there is a service to expose.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Mod B / C at production scale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Promote from prototype only after the eCTD risk is retired and the model is proven.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Dedicated per-sponsor deployment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Build when a specific client's security team requires it — demand-driven, not speculative.</w:t>
            </w:r>
          </w:p>
        </w:tc>
      </w:tr>
    </w:tbl>
    <w:p>
      <w:pPr>
        <w:pStyle w:val="Heading1"/>
        <w:pageBreakBefore/>
      </w:pPr>
      <w:r>
        <w:t xml:space="preserve">7. Unlock Conditions</w:t>
      </w:r>
    </w:p>
    <w:p>
      <w:pPr>
        <w:spacing w:after="150" w:line="274"/>
      </w:pPr>
      <w:r>
        <w:t xml:space="preserve">Two transitions move work rightward into production. Make them explicit so the team knows when the brakes come off.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Transition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Unlocks when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Prototype → Production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Phase 0 proves the hours-saved model AND the eCTD prototype has retired its technical risk AND the build re-enters the validation framework.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Gated → Build</w:t>
            </w:r>
          </w:p>
        </w:tc>
        <w:tc>
          <w:tcPr>
            <w:tcW w:type="dxa" w:w="6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</w:rPr>
              <w:t xml:space="preserve">Gate G1 (JV terms/IP) and G2 (validation framework) are cleared, Phase 0 is validated and live with the pilot, and capacity exists to scale into Phases 1–3.</w:t>
            </w:r>
          </w:p>
        </w:tc>
      </w:tr>
    </w:tbl>
    <w:p>
      <w:pPr>
        <w:pStyle w:val="Heading1"/>
        <w:pageBreakBefore/>
      </w:pPr>
      <w:r>
        <w:t xml:space="preserve">8. Guardrails (apply to every tier)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Gate G1 first: </w:t>
      </w:r>
      <w:r>
        <w:t xml:space="preserve">no significant build of any component before JV terms and IP ownership are locked — parallel work before G1 multiplies the wasted-effort and dispute risk.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Gate G2 always: </w:t>
      </w:r>
      <w:r>
        <w:t xml:space="preserve">everything production-bound runs inside the validation framework; only throwaway prototypes are exempt, and only while they stay throwaway.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Protect Phase 0 focus: </w:t>
      </w:r>
      <w:r>
        <w:t xml:space="preserve">the wedge has a hard deadline (Oct 2026) and first-pilot reputational stakes; parallel work must not starve it of the team's attention.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Capture the flywheel early: </w:t>
      </w:r>
      <w:r>
        <w:t xml:space="preserve">even in prototypes, log AI inputs/outputs and human corrections so the later AI-native feedback loop has data to learn from.</w:t>
      </w:r>
    </w:p>
    <w:p>
      <w:pPr>
        <w:spacing w:after="160"/>
      </w:pPr>
    </w:p>
    <w:p>
      <w:pPr>
        <w:pBdr>
          <w:top w:val="single" w:color="2E75B6" w:sz="4" w:space="6"/>
        </w:pBdr>
        <w:spacing w:after="60" w:before="120"/>
      </w:pPr>
      <w:r>
        <w:rPr>
          <w:b/>
          <w:bCs/>
          <w:color w:val="1F4E79"/>
          <w:sz w:val="20"/>
          <w:szCs w:val="20"/>
        </w:rPr>
        <w:t xml:space="preserve">Related documents</w:t>
      </w:r>
    </w:p>
    <w:p>
      <w:pPr>
        <w:spacing w:after="30"/>
      </w:pPr>
      <w:r>
        <w:rPr>
          <w:color w:val="555555"/>
          <w:sz w:val="18"/>
          <w:szCs w:val="18"/>
        </w:rPr>
        <w:t xml:space="preserve">SRS (modules A–I) · Architecture Specification (components &amp; figures) · Phase 0 Mobilization &amp; Build Plan (gates G1/G2, workstreams).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5"/>
        <w:szCs w:val="15"/>
      </w:rPr>
      <w:t xml:space="preserve">Parallelization Map — Confidential   |   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DD7EE" w:sz="4" w:space="4"/>
      </w:pBd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4c619e77cbc69dc7a620df9aa9c9d85c65b4b2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2026-06-27T04:42:36.399Z</dcterms:created>
  <dcterms:modified xsi:type="dcterms:W3CDTF">2026-06-27T04:42:36.399Z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