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b/>
          <w:bCs/>
          <w:color w:val="1F4E79"/>
          <w:sz w:val="50"/>
          <w:szCs w:val="50"/>
        </w:rPr>
        <w:t xml:space="preserve">Phase 0 Build Kickoff</w:t>
      </w:r>
    </w:p>
    <w:p>
      <w:pPr>
        <w:spacing w:before="140"/>
        <w:jc w:val="center"/>
      </w:pPr>
      <w:r>
        <w:rPr>
          <w:color w:val="2E75B6"/>
          <w:sz w:val="24"/>
          <w:szCs w:val="24"/>
        </w:rPr>
        <w:t xml:space="preserve">Starting the ESG / AEMS wedge in parallel — contract-first while access is pending</w:t>
      </w:r>
    </w:p>
    <w:p>
      <w:pPr>
        <w:spacing w:before="1300"/>
        <w:jc w:val="center"/>
      </w:pPr>
      <w:r>
        <w:rPr>
          <w:b/>
          <w:bCs/>
          <w:sz w:val="21"/>
          <w:szCs w:val="21"/>
        </w:rPr>
        <w:t xml:space="preserve">Joint venture: your technology company × Universal Regulatory</w:t>
      </w:r>
    </w:p>
    <w:p>
      <w:pPr>
        <w:spacing w:before="700"/>
        <w:jc w:val="center"/>
      </w:pPr>
      <w:r>
        <w:rPr>
          <w:color w:val="808080"/>
          <w:sz w:val="19"/>
          <w:szCs w:val="19"/>
        </w:rPr>
        <w:t xml:space="preserve">Version 0.1 (Draft)  •  June 2026  •  CONFIDENTIAL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50" w:line="274"/>
      </w:pPr>
      <w:r>
        <w:t xml:space="preserve">This kickoff turns the Phase 0 plan into work the team can start immediately — while ESG NextGen credentials are still pending. It defines what is buildable now, the contract-first approach that makes gateway access an integration step rather than a blocker, the repository structure, a Sprint 0 backlog, and the engineering guardrails.</w:t>
      </w:r>
    </w:p>
    <w:p>
      <w:pPr>
        <w:spacing w:after="150" w:line="274"/>
      </w:pPr>
      <w:r>
        <w:rPr>
          <w:b/>
          <w:bCs/>
        </w:rPr>
        <w:t xml:space="preserve">Companion file: </w:t>
      </w:r>
      <w:r>
        <w:t xml:space="preserve">a CLAUDE.md grounding file accompanies this document. Place it at the root of the new platform repository so Claude Code in the IDE builds against the decisions already made.</w:t>
      </w:r>
    </w:p>
    <w:p>
      <w:pPr>
        <w:pStyle w:val="Heading1"/>
      </w:pPr>
      <w:r>
        <w:t xml:space="preserve">2. Contract-First Strategy</w:t>
      </w:r>
    </w:p>
    <w:p>
      <w:pPr>
        <w:spacing w:after="150" w:line="274"/>
      </w:pPr>
      <w:r>
        <w:t xml:space="preserve">The FDA publishes the ESG NextGen API Specification and Guide. We build the entire submission path against that documented contract plus a mock gateway that implements it. When real test credentials arrive, we swap the mock for the live endpoints by configuration — no rewrite — and move straight to integration testing.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Build against the spec: </w:t>
      </w:r>
      <w:r>
        <w:t xml:space="preserve">the ESG client, E2B(R3) payload generation, the submission state machine, and ACK parsing are all written to the published contract.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Mock the gateway: </w:t>
      </w:r>
      <w:r>
        <w:t xml:space="preserve">a local mock ESG server returns representative ACK1/2/3 responses so the full happy-path and failure-path flows are exercised offline.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Swap on access: </w:t>
      </w:r>
      <w:r>
        <w:t xml:space="preserve">live endpoints, Client ID/Secret, and the certificate (mTLS) are injected by configuration; the mock is retired.</w:t>
      </w:r>
    </w:p>
    <w:p>
      <w:pPr>
        <w:pStyle w:val="Heading1"/>
        <w:pageBreakBefore/>
      </w:pPr>
      <w:r>
        <w:t xml:space="preserve">3. What We Can Build Now (no ESG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Buildable now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Needs access (defer to integration)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Foundations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Repo + CI/CD, identity/RBAC, audit store, data layer, tenant isolation, observability, AI-gateway plumbing.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Submission (Mod D)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ESG client (vs spec + mock), E2B(R3) payload builder, state machine, ACK parser, reconciliation.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Live auth, real File Submit/Upload, real status polling, mTLS/cert, real ACKs.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Workflow core (Mod F)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Minimal operator UI, state transitions, queueing.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Records core (Mod H)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Records + append-only audit persistence.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10"/>
      </w:pPr>
    </w:p>
    <w:p>
      <w:pPr>
        <w:spacing w:after="150" w:line="274"/>
      </w:pPr>
      <w:r>
        <w:rPr>
          <w:b/>
          <w:bCs/>
        </w:rPr>
        <w:t xml:space="preserve">Out of scope (per the Parallelization Map): </w:t>
      </w:r>
      <w:r>
        <w:t xml:space="preserve">eCTD publishing (B), validator (C), and AI features (G) stay prototype-only/throwaway; authoring (A), knowledge (E), full workflow (F), and client portal (I) are not started until Phase 0 validates the model.</w:t>
      </w:r>
    </w:p>
    <w:p>
      <w:pPr>
        <w:pStyle w:val="Heading1"/>
        <w:pageBreakBefore/>
      </w:pPr>
      <w:r>
        <w:t xml:space="preserve">4. Repository Structure</w:t>
      </w:r>
    </w:p>
    <w:p>
      <w:pPr>
        <w:spacing w:after="150" w:line="274"/>
      </w:pPr>
      <w:r>
        <w:t xml:space="preserve">A containerized, cloud-agnostic layout that maps to the architecture modules. Provider-specifics sit behind adapters; a local compose runs the mock ESG server and database for offline development.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/platform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/services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/submission     # Mod D: ESG client, state machine, reconciliation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/workflow       # Mod F core: orchestration, operator-UI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/records        # Mod H core: records + audit persistence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/identity       # RBAC/MFA, tenant context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/ai-gateway     # Mod G plumbing: model-abstraction interface (stub)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/libs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/e2b            # E2B(R3) payload model + schema validation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/esg-client     # ESG NextGen API client (spec-driven)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/audit          # append-only audit + e-signature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/tenancy        # isolation middleware, per-tenant keys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/mocks/esg-mock   # mock ESG NextGen server (implements the API contract)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/ui               # operator UI (submit / monitor / view ACKs)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/infra            # IaC, environment config (cloud-agnostic)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/tests            # unit | integration (vs mock) | conformance (OQ)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CLAUDE.md  README.md</w:t>
            </w:r>
          </w:p>
        </w:tc>
      </w:tr>
    </w:tbl>
    <w:p>
      <w:pPr>
        <w:pStyle w:val="Heading1"/>
        <w:pageBreakBefore/>
      </w:pPr>
      <w:r>
        <w:t xml:space="preserve">5. Sprint 0 Backlog (no access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60"/>
        <w:gridCol w:w="2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Module / area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Repo, CI/CD, lint/test scaffolding, local compose (mock ESG + DB).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Foundations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NFR-COMP-02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Core data schema + migrations (Tenant, Application, Submission, Document, Acknowledgement, AuditEvent).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§6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Append-only audit store; write on every state transition.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H / audit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NFR-COMP-01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Submission state machine (Draft → … → Accepted/Rejected) with unit tests.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 / F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FR-D-05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ESG client interface + mock ESG server implementing the API contract.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 / esg-client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FR-D-01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E2B(R3) ICSR payload builder from a synthetic case + schema validation.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 / e2b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FR-D-06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ACK parser for ACK1/2/3 against sample payloads; reconcile to state machine.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FR-D-04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Minimal operator UI: submit, list, status, ACK/error view (wired to mock).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 (min UI)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FR-F-01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Identity/RBAC skeleton + tenant-context middleware.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NFR-SEC-02/03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AI-gateway interface stub (no model calls yet).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ai-gateway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FR-G plumbing</w:t>
            </w:r>
          </w:p>
        </w:tc>
      </w:tr>
    </w:tbl>
    <w:p>
      <w:pPr>
        <w:pStyle w:val="Heading1"/>
        <w:pageBreakBefore/>
      </w:pPr>
      <w:r>
        <w:t xml:space="preserve">6. Definition of “Integration-Ready”</w:t>
      </w:r>
    </w:p>
    <w:p>
      <w:pPr>
        <w:spacing w:after="150" w:line="274"/>
      </w:pPr>
      <w:r>
        <w:t xml:space="preserve">When ESG test credentials and the certificate arrive, the parallel build should reach live submission with only configuration changes: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Configure real test endpoints + Client ID/Secret; load the certificate from the secret store (mTLS).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Swap the mock ESG for the live gateway by configuration — no code rewrite.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Run the first real test submission; confirm ACK1/2/3 retrieval and correct reconciliation (milestone M4).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Promote the conformance suite as OQ evidence; proceed to validated production under Universal Regulatory's QMS.</w:t>
      </w:r>
    </w:p>
    <w:p>
      <w:pPr>
        <w:pStyle w:val="Heading1"/>
        <w:pageBreakBefore/>
      </w:pPr>
      <w:r>
        <w:t xml:space="preserve">7. Engineering Guardrails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Version control + review: </w:t>
      </w:r>
      <w:r>
        <w:t xml:space="preserve">everything in git; PR review and human sign-off — the basis of Part 11 traceability.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No real PHI: </w:t>
      </w:r>
      <w:r>
        <w:t xml:space="preserve">use synthetic E2B(R3) ICSRs only in dev and test.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Secrets discipline: </w:t>
      </w:r>
      <w:r>
        <w:t xml:space="preserve">credentials and the non-repudiation certificate live in the secret manager / HSM, never in code or config.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Traceability: </w:t>
      </w:r>
      <w:r>
        <w:t xml:space="preserve">reference requirement IDs (FR-* / NFR-*) in PRs and test names; conformance tests double as OQ evidence.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Human-in-the-loop: </w:t>
      </w:r>
      <w:r>
        <w:t xml:space="preserve">no auto-finalize or auto-transmit; AI outputs remain proposals.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Tier discipline: </w:t>
      </w:r>
      <w:r>
        <w:t xml:space="preserve">build green-light foundations + Mod D (vs mock); keep eCTD/validator/AI features as throwaway prototypes; do not start A/E/full-F/I.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Independent project: </w:t>
      </w:r>
      <w:r>
        <w:t xml:space="preserve">this is a standalone repository with its own git history and quality system — no dependency on or imports from the FAERS / workflow-app project; port any reused logic as clean library code.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Gate awareness: </w:t>
      </w:r>
      <w:r>
        <w:t xml:space="preserve">this is foundation + mock work; ensure Gate G1 (JV terms / IP) is actively progressing, since the code becomes JV property.</w:t>
      </w:r>
    </w:p>
    <w:p>
      <w:pPr>
        <w:pStyle w:val="Heading1"/>
        <w:pageBreakBefore/>
      </w:pPr>
      <w:r>
        <w:t xml:space="preserve">8. Immediate Dev Setup (Day 1)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Create the repository; add CLAUDE.md and README; enable branch protection + required review.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Confirm the stack with the tech lead — standalone repo with no dependency on the FAERS/workflow-app project; TypeScript/Node default, porting any reused logic as clean library code.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Stand up CI (lint, unit, integration-vs-mock) and a local compose with the mock ESG server + database.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Seed a synthetic E2B(R3) sample case and representative ACK1/2/3 payloads for the mock.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Open Sprint 0 with the backlog above; point Claude Code at CLAUDE.md and the source documents.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Phase 0 Build Kickoff — Confidential   |   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DD7EE" w:sz="4" w:space="4"/>
      </w:pBd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2026-06-27T05:13:40.370Z</dcterms:created>
  <dcterms:modified xsi:type="dcterms:W3CDTF">2026-06-27T05:13:40.370Z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