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pBdr>
          <w:bottom w:val="single" w:color="2E75B6" w:sz="12" w:space="6"/>
        </w:pBdr>
        <w:spacing w:after="80" w:before="0"/>
      </w:pPr>
      <w:r>
        <w:rPr>
          <w:rFonts w:ascii="Arial" w:cs="Arial" w:eastAsia="Arial" w:hAnsi="Arial"/>
          <w:b/>
          <w:bCs/>
          <w:color w:val="1F4E79"/>
          <w:sz w:val="52"/>
          <w:szCs w:val="52"/>
        </w:rPr>
        <w:t xml:space="preserve">FDA FAERS Test Submission</w:t>
      </w:r>
    </w:p>
    <w:p>
      <w:pPr>
        <w:spacing w:after="60" w:before="80"/>
      </w:pPr>
      <w:r>
        <w:rPr>
          <w:rFonts w:ascii="Arial" w:cs="Arial" w:eastAsia="Arial" w:hAnsi="Arial"/>
          <w:color w:val="2E75B6"/>
          <w:sz w:val="36"/>
          <w:szCs w:val="36"/>
        </w:rPr>
        <w:t xml:space="preserve">Gap Analysis for Claude Code</w:t>
      </w:r>
    </w:p>
    <w:p>
      <w:pPr>
        <w:spacing w:after="40" w:before="0"/>
      </w:pPr>
      <w:r>
        <w:rPr>
          <w:rFonts w:ascii="Arial" w:cs="Arial" w:eastAsia="Arial" w:hAnsi="Arial"/>
          <w:color w:val="606060"/>
          <w:sz w:val="20"/>
          <w:szCs w:val="20"/>
        </w:rPr>
        <w:t xml:space="preserve">DeepQuence  |  Drug Safety  |  Sachin Deshpande</w:t>
      </w:r>
    </w:p>
    <w:p>
      <w:pPr>
        <w:spacing w:after="240" w:before="0"/>
      </w:pPr>
      <w:r>
        <w:rPr>
          <w:rFonts w:ascii="Arial" w:cs="Arial" w:eastAsia="Arial" w:hAnsi="Arial"/>
          <w:i/>
          <w:iCs/>
          <w:color w:val="888888"/>
          <w:sz w:val="18"/>
          <w:szCs w:val="18"/>
        </w:rPr>
        <w:t xml:space="preserve">Prepared: 2026-04-29  |  Submission Portal: FDA ESG NextGen AERS (ZZFDATST)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20"/>
                <w:szCs w:val="20"/>
              </w:rPr>
              <w:t xml:space="preserve">✅  Accepted</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20"/>
                <w:szCs w:val="20"/>
              </w:rPr>
              <w:t xml:space="preserve">🟡  XML Ready</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20"/>
                <w:szCs w:val="20"/>
              </w:rPr>
              <w:t xml:space="preserve">🔧  Needs Action</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20"/>
                <w:szCs w:val="20"/>
              </w:rPr>
              <w:t xml:space="preserve">⛔  Blocked</w:t>
            </w:r>
          </w:p>
        </w:tc>
      </w:tr>
      <w:tr>
        <w:tc>
          <w:tcPr>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1A5C1A"/>
                <w:sz w:val="36"/>
                <w:szCs w:val="36"/>
              </w:rPr>
              <w:t xml:space="preserve">4 / 30</w:t>
            </w:r>
          </w:p>
        </w:tc>
        <w:tc>
          <w:tcPr>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7D5A00"/>
                <w:sz w:val="36"/>
                <w:szCs w:val="36"/>
              </w:rPr>
              <w:t xml:space="preserve">20 / 30</w:t>
            </w:r>
          </w:p>
        </w:tc>
        <w:tc>
          <w:tcPr>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7D1C00"/>
                <w:sz w:val="36"/>
                <w:szCs w:val="36"/>
              </w:rPr>
              <w:t xml:space="preserve">2 / 30</w:t>
            </w:r>
          </w:p>
        </w:tc>
        <w:tc>
          <w:tcPr>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vAlign w:val="center"/>
          </w:tcPr>
          <w:p>
            <w:pPr>
              <w:spacing w:after="0" w:before="0"/>
              <w:jc w:val="center"/>
            </w:pPr>
            <w:r>
              <w:rPr>
                <w:rFonts w:ascii="Arial" w:cs="Arial" w:eastAsia="Arial" w:hAnsi="Arial"/>
                <w:b/>
                <w:bCs/>
                <w:color w:val="7D0000"/>
                <w:sz w:val="36"/>
                <w:szCs w:val="36"/>
              </w:rPr>
              <w:t xml:space="preserve">4 / 30</w:t>
            </w:r>
          </w:p>
        </w:tc>
      </w:tr>
    </w:tbl>
    <w:p>
      <w:pPr>
        <w:spacing w:after="240" w:before="0"/>
      </w:pPr>
      <w:r>
        <w:t xml:space="preserv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2E75B6" w:sz="8" w:space="4"/>
        </w:pBdr>
        <w:spacing w:after="160" w:before="280"/>
      </w:pPr>
      <w:r>
        <w:rPr>
          <w:rFonts w:ascii="Arial" w:cs="Arial" w:eastAsia="Arial" w:hAnsi="Arial"/>
          <w:b/>
          <w:bCs/>
          <w:color w:val="1F4E79"/>
          <w:sz w:val="32"/>
          <w:szCs w:val="32"/>
        </w:rPr>
        <w:t xml:space="preserve">1.  Executive Summary</w:t>
      </w:r>
    </w:p>
    <w:p>
      <w:pPr>
        <w:spacing w:after="80" w:before="80"/>
        <w:jc w:val="left"/>
      </w:pPr>
      <w:r>
        <w:rPr>
          <w:rFonts w:ascii="Arial" w:cs="Arial" w:eastAsia="Arial" w:hAnsi="Arial"/>
          <w:sz w:val="20"/>
          <w:szCs w:val="20"/>
        </w:rPr>
        <w:t xml:space="preserve">This document records the gap analysis for the 30-case FDA FAERS E2B(R3) test submission catalog </w:t>
      </w:r>
      <w:r>
        <w:rPr>
          <w:rFonts w:ascii="Arial" w:cs="Arial" w:eastAsia="Arial" w:hAnsi="Arial"/>
          <w:b/>
          <w:bCs/>
          <w:sz w:val="20"/>
          <w:szCs w:val="20"/>
        </w:rPr>
        <w:t xml:space="preserve">(TC-A01 through TC-H03)</w:t>
      </w:r>
      <w:r>
        <w:rPr>
          <w:rFonts w:ascii="Arial" w:cs="Arial" w:eastAsia="Arial" w:hAnsi="Arial"/>
          <w:sz w:val="20"/>
          <w:szCs w:val="20"/>
        </w:rPr>
        <w:t xml:space="preserve"> submitted to the FDA ESG NextGen AERS test gateway (ZZFDATST) by DeepQuence. </w:t>
      </w:r>
      <w:r>
        <w:rPr>
          <w:rFonts w:ascii="Arial" w:cs="Arial" w:eastAsia="Arial" w:hAnsi="Arial"/>
          <w:sz w:val="20"/>
          <w:szCs w:val="20"/>
        </w:rPr>
        <w:t xml:space="preserve">The campaign is being driven entirely through the Claude Code automated workflow.</w:t>
      </w:r>
    </w:p>
    <w:p>
      <w:pPr>
        <w:spacing w:after="80" w:before="0"/>
      </w:pPr>
      <w:r>
        <w:t xml:space="preserve"/>
      </w:r>
    </w:p>
    <w:p>
      <w:pPr>
        <w:spacing w:after="80" w:before="80"/>
        <w:jc w:val="left"/>
      </w:pPr>
      <w:r>
        <w:rPr>
          <w:rFonts w:ascii="Arial" w:cs="Arial" w:eastAsia="Arial" w:hAnsi="Arial"/>
          <w:b/>
          <w:bCs/>
          <w:sz w:val="20"/>
          <w:szCs w:val="20"/>
        </w:rPr>
        <w:t xml:space="preserve">As of 2026-04-29: </w:t>
      </w:r>
      <w:r>
        <w:rPr>
          <w:rFonts w:ascii="Arial" w:cs="Arial" w:eastAsia="Arial" w:hAnsi="Arial"/>
          <w:sz w:val="20"/>
          <w:szCs w:val="20"/>
        </w:rPr>
        <w:t xml:space="preserve">4 cases have been submitted and confirmed accepted (CA+AA ACK). </w:t>
      </w:r>
      <w:r>
        <w:rPr>
          <w:rFonts w:ascii="Arial" w:cs="Arial" w:eastAsia="Arial" w:hAnsi="Arial"/>
          <w:sz w:val="20"/>
          <w:szCs w:val="20"/>
        </w:rPr>
        <w:t xml:space="preserve">20 cases have fully generated, schema-valid XML packages ready to submit. </w:t>
      </w:r>
      <w:r>
        <w:rPr>
          <w:rFonts w:ascii="Arial" w:cs="Arial" w:eastAsia="Arial" w:hAnsi="Arial"/>
          <w:sz w:val="20"/>
          <w:szCs w:val="20"/>
        </w:rPr>
        <w:t xml:space="preserve">2 cases require a minor automated fix before submission. </w:t>
      </w:r>
      <w:r>
        <w:rPr>
          <w:rFonts w:ascii="Arial" w:cs="Arial" w:eastAsia="Arial" w:hAnsi="Arial"/>
          <w:sz w:val="20"/>
          <w:szCs w:val="20"/>
        </w:rPr>
        <w:t xml:space="preserve">4 cases are blocked by generator hardcoding and require direct XML surgery.</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800"/>
        <w:gridCol w:w="1560"/>
        <w:gridCol w:w="18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Category</w:t>
            </w:r>
          </w:p>
        </w:tc>
        <w:tc>
          <w:tcPr>
            <w:tcW w:type="dxa" w:w="4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Description</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Count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Action</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6"/>
                <w:szCs w:val="16"/>
              </w:rPr>
              <w:t xml:space="preserve">✅ ACCEPTED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Submitted and acknowledged CA+AA by FDA ESG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bCs/>
                <w:color w:val="000000"/>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6"/>
                <w:szCs w:val="16"/>
              </w:rPr>
              <w:t xml:space="preserve">None — complete</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6"/>
                <w:szCs w:val="16"/>
              </w:rPr>
              <w:t xml:space="preserve">🟡 XML READY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XML generated and verified. Lint + submit to AERS portal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bCs/>
                <w:color w:val="000000"/>
                <w:sz w:val="18"/>
                <w:szCs w:val="18"/>
              </w:rPr>
              <w:t xml:space="preserve">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6"/>
                <w:szCs w:val="16"/>
              </w:rPr>
              <w:t xml:space="preserve">Lint → Submit</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6"/>
                <w:szCs w:val="16"/>
              </w:rPr>
              <w:t xml:space="preserve">🔧 NEEDS ACTION</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XML generated but requires an automated patch before submission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bCs/>
                <w:color w:val="000000"/>
                <w:sz w:val="18"/>
                <w:szCs w:val="18"/>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6"/>
                <w:szCs w:val="16"/>
              </w:rPr>
              <w:t xml:space="preserve">Patch → Lint → Submit</w:t>
            </w:r>
          </w:p>
        </w:tc>
      </w:tr>
      <w:tr>
        <w:tc>
          <w:tcPr>
            <w:tcW w:type="dxa" w:w="12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6"/>
                <w:szCs w:val="16"/>
              </w:rPr>
              <w:t xml:space="preserve">⛔ BLOCKED</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8"/>
                <w:szCs w:val="18"/>
              </w:rPr>
              <w:t xml:space="preserve">XML generator hardcodes the field. Requires direct XML edit (no fixture path)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center"/>
            </w:pPr>
            <w:r>
              <w:rPr>
                <w:rFonts w:ascii="Arial" w:cs="Arial" w:eastAsia="Arial" w:hAnsi="Arial"/>
                <w:b/>
                <w:bCs/>
                <w:color w:val="000000"/>
                <w:sz w:val="18"/>
                <w:szCs w:val="18"/>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6"/>
                <w:szCs w:val="16"/>
              </w:rPr>
              <w:t xml:space="preserve">XML surgery → Lint → Submit</w:t>
            </w:r>
          </w:p>
        </w:tc>
      </w:tr>
    </w:tbl>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2.  Full 30-Case Status Matrix</w:t>
      </w:r>
    </w:p>
    <w:p>
      <w:pPr>
        <w:spacing w:after="80" w:before="80"/>
        <w:jc w:val="left"/>
      </w:pPr>
      <w:r>
        <w:rPr>
          <w:rFonts w:ascii="Arial" w:cs="Arial" w:eastAsia="Arial" w:hAnsi="Arial"/>
          <w:i/>
          <w:iCs/>
          <w:color w:val="606060"/>
          <w:sz w:val="20"/>
          <w:szCs w:val="20"/>
        </w:rPr>
        <w:t xml:space="preserve">One row per test case. Status reflects the state as of 2026-04-29.</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260"/>
        <w:gridCol w:w="1560"/>
        <w:gridCol w:w="264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Case ID</w:t>
            </w:r>
          </w:p>
        </w:tc>
        <w:tc>
          <w:tcPr>
            <w:tcW w:type="dxa" w:w="42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Field / Scenario</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Status</w:t>
            </w:r>
          </w:p>
        </w:tc>
        <w:tc>
          <w:tcPr>
            <w:tcW w:type="dxa" w:w="26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Notes / 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TC-A01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Race – White (C41261)</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ACCEPTED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First postmarket acceptance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TC-A02</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Race – Black (C41261)</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from_app/TC-A02-race-black.xml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TC-A03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Race – Am. Indian (C41257)</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from_app/round2/TC-A03...</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TC-A04</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Race – Hawaiian (C41258)</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from_app/round2/TC-A04...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TC-A05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Ethnicity – Hispanic (C17459)</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ACCEPTED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Confirms C17459 accepted</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TC-A06</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Ethnicity – nullFlavor=NI</w:t>
            </w:r>
          </w:p>
        </w:tc>
        <w:tc>
          <w:tcPr>
            <w:tcW w:type="dxa" w:w="156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BLOCKED</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Generator hardcodes default ethnicity; requires direct XML edit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TC-B01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Med history – empty string</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from_app/round2/TC-B01...</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TC-B02</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Med history – narrative text</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ACCEPTED</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Submitted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TC-C01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Reporter qual – code 2 (Pharma)</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OID .1.7 code=2; note OID .1.6 causes silent skip</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TC-C02</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Reporter qual – code 3 (OHP)</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from_app/TC-C02-reporter-qual-3.xml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TC-D01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ActionTaken – 2 (dose reduced)</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from_app/TC-D01-action-dose-reduced.xml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TC-D02</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ActionTaken – 3 (dose increased)</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from_app/round2/TC-D02...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TC-D03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ActionTaken – 5 (not applicable)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B: round2 XML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TC-D04</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Dechallenge – 1 (Yes/positive)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B: round2 XML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TC-D05</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Two suspect drugs</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from_app/TC-D05-two-suspect-drugs.xml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TC-D06</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Concom ActionTaken – 6 (unknown)</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B: round2 XML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TC-E01</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Weight absent (D.3 omitted)</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Weight element correctly absent in XML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TC-E02</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BirthDate absent, age retained</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birthTime absent; D.2.2a/b populated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TC-E03</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Patient sex – Female (code=2)</w:t>
            </w:r>
          </w:p>
        </w:tc>
        <w:tc>
          <w:tcPr>
            <w:tcW w:type="dxa" w:w="1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ACCEPTED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Submitted</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TC-F01</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Follow-Up report (A.1.7=2)</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sourceReport outboundRelationship correctly added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TC-F02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Combination product=true</w:t>
            </w:r>
          </w:p>
        </w:tc>
        <w:tc>
          <w:tcPr>
            <w:tcW w:type="dxa" w:w="156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BLOCKED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C156384 hardcoded false in generator; direct XML edit needed</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TC-F03</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Non-expedited (A.1.9=2)</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NEEDS PATCH</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XML generated but expedited still emits value=true; patch 1 element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TC-F04</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ICH report type code=2</w:t>
            </w:r>
          </w:p>
        </w:tc>
        <w:tc>
          <w:tcPr>
            <w:tcW w:type="dxa" w:w="156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BLOCKED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caseType=ind/babe required; can't emit code=2 on postmarket channel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TC-G01</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Non-serious case (all flags=false)</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NEEDS REGEN</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Fixture patched (disabling→disability); re-run headless CLI</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TC-G02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Outcome – 2 (Recovering)</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B: round2 XML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TC-G03</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Outcome – 4 (Recovered/sequelae)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B: round2 XML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TC-G04</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Fatal outcome (death=true)</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from_app/TC-G04-fatal-outcome.xml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TC-H01</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additionalDocs=true (A.1.11=1)</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code=1 value=true correctly in XML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TC-H02</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asLocatedEntity absent</w:t>
            </w:r>
          </w:p>
        </w:tc>
        <w:tc>
          <w:tcPr>
            <w:tcW w:type="dxa" w:w="156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BLOCKED</w:t>
            </w:r>
          </w:p>
        </w:tc>
        <w:tc>
          <w:tcPr>
            <w:tcW w:type="dxa" w:w="2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Generator always emits asLocatedEntity; must be stripped directly</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TC-H03</w:t>
            </w:r>
          </w:p>
        </w:tc>
        <w:tc>
          <w:tcPr>
            <w:tcW w:type="dxa" w:w="42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Reporter org name changed</w:t>
            </w:r>
          </w:p>
        </w:tc>
        <w:tc>
          <w:tcPr>
            <w:tcW w:type="dxa" w:w="1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6"/>
                <w:szCs w:val="16"/>
              </w:rPr>
              <w:t xml:space="preserve">🟡 XML READY</w:t>
            </w:r>
          </w:p>
        </w:tc>
        <w:tc>
          <w:tcPr>
            <w:tcW w:type="dxa" w:w="264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department=Pharmacovigilance correctly in C.3 name</w:t>
            </w:r>
          </w:p>
        </w:tc>
      </w:tr>
    </w:tbl>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3.  Gap Detail: XML-Ready Cases (🟡)</w:t>
      </w:r>
    </w:p>
    <w:p>
      <w:pPr>
        <w:spacing w:after="80" w:before="80"/>
        <w:jc w:val="left"/>
      </w:pPr>
      <w:r>
        <w:rPr>
          <w:rFonts w:ascii="Arial" w:cs="Arial" w:eastAsia="Arial" w:hAnsi="Arial"/>
          <w:sz w:val="20"/>
          <w:szCs w:val="20"/>
        </w:rPr>
        <w:t xml:space="preserve">These cases have complete, schema-valid XML packages on disk. The only action required is to lint and submit each package to the AERS portal. No code changes are needed.</w:t>
      </w:r>
    </w:p>
    <w:p>
      <w:pPr>
        <w:spacing w:after="120" w:before="0"/>
      </w:pPr>
      <w:r>
        <w:t xml:space="preserve"/>
      </w:r>
    </w:p>
    <w:p>
      <w:pPr>
        <w:pStyle w:val="Heading2"/>
        <w:spacing w:after="120" w:before="200"/>
      </w:pPr>
      <w:r>
        <w:rPr>
          <w:rFonts w:ascii="Arial" w:cs="Arial" w:eastAsia="Arial" w:hAnsi="Arial"/>
          <w:b/>
          <w:bCs/>
          <w:color w:val="2E75B6"/>
          <w:sz w:val="26"/>
          <w:szCs w:val="26"/>
        </w:rPr>
        <w:t xml:space="preserve">3.1  Track A — Pre-Generated XMLs (from_app/)</w:t>
      </w:r>
    </w:p>
    <w:p>
      <w:pPr>
        <w:spacing w:after="80" w:before="80"/>
        <w:jc w:val="left"/>
      </w:pPr>
      <w:r>
        <w:rPr>
          <w:rFonts w:ascii="Arial" w:cs="Arial" w:eastAsia="Arial" w:hAnsi="Arial"/>
          <w:sz w:val="20"/>
          <w:szCs w:val="20"/>
        </w:rPr>
        <w:t xml:space="preserve">Five XMLs were generated by the app before this campaign began and have never been submitted:</w:t>
      </w:r>
    </w:p>
    <w:p>
      <w:pPr>
        <w:spacing w:after="80" w:before="0"/>
      </w:pPr>
      <w:r>
        <w:t xml:space="preserve"/>
      </w:r>
    </w:p>
    <w:p>
      <w:pPr>
        <w:pStyle w:val="ListParagraph"/>
        <w:numPr>
          <w:ilvl w:val="0"/>
          <w:numId w:val="2"/>
        </w:numPr>
        <w:spacing w:after="40" w:before="40"/>
      </w:pPr>
      <w:r>
        <w:rPr>
          <w:rFonts w:ascii="Arial" w:cs="Arial" w:eastAsia="Arial" w:hAnsi="Arial"/>
          <w:b/>
          <w:bCs/>
          <w:sz w:val="20"/>
          <w:szCs w:val="20"/>
        </w:rPr>
        <w:t xml:space="preserve">TC-A02</w:t>
      </w:r>
      <w:r>
        <w:rPr>
          <w:rFonts w:ascii="Arial" w:cs="Arial" w:eastAsia="Arial" w:hAnsi="Arial"/>
          <w:sz w:val="20"/>
          <w:szCs w:val="20"/>
        </w:rPr>
        <w:t xml:space="preserve"> — Race – Black (C41261)  </w:t>
      </w:r>
      <w:r>
        <w:rPr>
          <w:rFonts w:ascii="Arial" w:cs="Arial" w:eastAsia="Arial" w:hAnsi="Arial"/>
          <w:i/>
          <w:iCs/>
          <w:color w:val="2E75B6"/>
          <w:sz w:val="20"/>
          <w:szCs w:val="20"/>
        </w:rPr>
        <w:t xml:space="preserve">[from_app/TC-A02-race-black.xml]</w:t>
      </w:r>
    </w:p>
    <w:p>
      <w:pPr>
        <w:pStyle w:val="ListParagraph"/>
        <w:numPr>
          <w:ilvl w:val="0"/>
          <w:numId w:val="2"/>
        </w:numPr>
        <w:spacing w:after="40" w:before="40"/>
      </w:pPr>
      <w:r>
        <w:rPr>
          <w:rFonts w:ascii="Arial" w:cs="Arial" w:eastAsia="Arial" w:hAnsi="Arial"/>
          <w:b/>
          <w:bCs/>
          <w:sz w:val="20"/>
          <w:szCs w:val="20"/>
        </w:rPr>
        <w:t xml:space="preserve">TC-C02</w:t>
      </w:r>
      <w:r>
        <w:rPr>
          <w:rFonts w:ascii="Arial" w:cs="Arial" w:eastAsia="Arial" w:hAnsi="Arial"/>
          <w:sz w:val="20"/>
          <w:szCs w:val="20"/>
        </w:rPr>
        <w:t xml:space="preserve"> — Reporter qualification code 3 (OtherHealthProfessional)  </w:t>
      </w:r>
      <w:r>
        <w:rPr>
          <w:rFonts w:ascii="Arial" w:cs="Arial" w:eastAsia="Arial" w:hAnsi="Arial"/>
          <w:i/>
          <w:iCs/>
          <w:color w:val="2E75B6"/>
          <w:sz w:val="20"/>
          <w:szCs w:val="20"/>
        </w:rPr>
        <w:t xml:space="preserve">[from_app/TC-C02-reporter-qual-3.xml]</w:t>
      </w:r>
    </w:p>
    <w:p>
      <w:pPr>
        <w:pStyle w:val="ListParagraph"/>
        <w:numPr>
          <w:ilvl w:val="0"/>
          <w:numId w:val="2"/>
        </w:numPr>
        <w:spacing w:after="40" w:before="40"/>
      </w:pPr>
      <w:r>
        <w:rPr>
          <w:rFonts w:ascii="Arial" w:cs="Arial" w:eastAsia="Arial" w:hAnsi="Arial"/>
          <w:b/>
          <w:bCs/>
          <w:sz w:val="20"/>
          <w:szCs w:val="20"/>
        </w:rPr>
        <w:t xml:space="preserve">TC-D01</w:t>
      </w:r>
      <w:r>
        <w:rPr>
          <w:rFonts w:ascii="Arial" w:cs="Arial" w:eastAsia="Arial" w:hAnsi="Arial"/>
          <w:sz w:val="20"/>
          <w:szCs w:val="20"/>
        </w:rPr>
        <w:t xml:space="preserve"> — ActionTaken – 2 (dose reduced)  </w:t>
      </w:r>
      <w:r>
        <w:rPr>
          <w:rFonts w:ascii="Arial" w:cs="Arial" w:eastAsia="Arial" w:hAnsi="Arial"/>
          <w:i/>
          <w:iCs/>
          <w:color w:val="2E75B6"/>
          <w:sz w:val="20"/>
          <w:szCs w:val="20"/>
        </w:rPr>
        <w:t xml:space="preserve">[from_app/TC-D01-action-dose-reduced.xml]</w:t>
      </w:r>
    </w:p>
    <w:p>
      <w:pPr>
        <w:pStyle w:val="ListParagraph"/>
        <w:numPr>
          <w:ilvl w:val="0"/>
          <w:numId w:val="2"/>
        </w:numPr>
        <w:spacing w:after="40" w:before="40"/>
      </w:pPr>
      <w:r>
        <w:rPr>
          <w:rFonts w:ascii="Arial" w:cs="Arial" w:eastAsia="Arial" w:hAnsi="Arial"/>
          <w:b/>
          <w:bCs/>
          <w:sz w:val="20"/>
          <w:szCs w:val="20"/>
        </w:rPr>
        <w:t xml:space="preserve">TC-D05</w:t>
      </w:r>
      <w:r>
        <w:rPr>
          <w:rFonts w:ascii="Arial" w:cs="Arial" w:eastAsia="Arial" w:hAnsi="Arial"/>
          <w:sz w:val="20"/>
          <w:szCs w:val="20"/>
        </w:rPr>
        <w:t xml:space="preserve"> — Two suspect drugs  </w:t>
      </w:r>
      <w:r>
        <w:rPr>
          <w:rFonts w:ascii="Arial" w:cs="Arial" w:eastAsia="Arial" w:hAnsi="Arial"/>
          <w:i/>
          <w:iCs/>
          <w:color w:val="2E75B6"/>
          <w:sz w:val="20"/>
          <w:szCs w:val="20"/>
        </w:rPr>
        <w:t xml:space="preserve">[from_app/TC-D05-two-suspect-drugs.xml]</w:t>
      </w:r>
    </w:p>
    <w:p>
      <w:pPr>
        <w:pStyle w:val="ListParagraph"/>
        <w:numPr>
          <w:ilvl w:val="0"/>
          <w:numId w:val="2"/>
        </w:numPr>
        <w:spacing w:after="40" w:before="40"/>
      </w:pPr>
      <w:r>
        <w:rPr>
          <w:rFonts w:ascii="Arial" w:cs="Arial" w:eastAsia="Arial" w:hAnsi="Arial"/>
          <w:b/>
          <w:bCs/>
          <w:sz w:val="20"/>
          <w:szCs w:val="20"/>
        </w:rPr>
        <w:t xml:space="preserve">TC-G04</w:t>
      </w:r>
      <w:r>
        <w:rPr>
          <w:rFonts w:ascii="Arial" w:cs="Arial" w:eastAsia="Arial" w:hAnsi="Arial"/>
          <w:sz w:val="20"/>
          <w:szCs w:val="20"/>
        </w:rPr>
        <w:t xml:space="preserve"> — Fatal outcome (patient.death = true)  </w:t>
      </w:r>
      <w:r>
        <w:rPr>
          <w:rFonts w:ascii="Arial" w:cs="Arial" w:eastAsia="Arial" w:hAnsi="Arial"/>
          <w:i/>
          <w:iCs/>
          <w:color w:val="2E75B6"/>
          <w:sz w:val="20"/>
          <w:szCs w:val="20"/>
        </w:rPr>
        <w:t xml:space="preserve">[from_app/TC-G04-fatal-outcome.xml]</w:t>
      </w:r>
    </w:p>
    <w:p>
      <w:pPr>
        <w:spacing w:after="160" w:before="0"/>
      </w:pPr>
      <w:r>
        <w:t xml:space="preserve"/>
      </w:r>
    </w:p>
    <w:p>
      <w:pPr>
        <w:pStyle w:val="Heading2"/>
        <w:spacing w:after="120" w:before="200"/>
      </w:pPr>
      <w:r>
        <w:rPr>
          <w:rFonts w:ascii="Arial" w:cs="Arial" w:eastAsia="Arial" w:hAnsi="Arial"/>
          <w:b/>
          <w:bCs/>
          <w:color w:val="2E75B6"/>
          <w:sz w:val="26"/>
          <w:szCs w:val="26"/>
        </w:rPr>
        <w:t xml:space="preserve">3.2  Track B — Round-2 Fixtures (from_app/round2/)</w:t>
      </w:r>
    </w:p>
    <w:p>
      <w:pPr>
        <w:spacing w:after="80" w:before="80"/>
        <w:jc w:val="left"/>
      </w:pPr>
      <w:r>
        <w:rPr>
          <w:rFonts w:ascii="Arial" w:cs="Arial" w:eastAsia="Arial" w:hAnsi="Arial"/>
          <w:sz w:val="20"/>
          <w:szCs w:val="20"/>
        </w:rPr>
        <w:t xml:space="preserve">16 cases for which JSON fixtures were created in round2/ and XMLs generated by the headless CLI (15 currently on disk; TC-G01 listed separately in §4):</w:t>
      </w:r>
    </w:p>
    <w:p>
      <w:pPr>
        <w:spacing w:after="80" w:before="0"/>
      </w:pPr>
      <w:r>
        <w:t xml:space="preserve"/>
      </w:r>
    </w:p>
    <w:p>
      <w:pPr>
        <w:pStyle w:val="ListParagraph"/>
        <w:numPr>
          <w:ilvl w:val="0"/>
          <w:numId w:val="2"/>
        </w:numPr>
        <w:spacing w:after="40" w:before="40"/>
      </w:pPr>
      <w:r>
        <w:rPr>
          <w:rFonts w:ascii="Arial" w:cs="Arial" w:eastAsia="Arial" w:hAnsi="Arial"/>
          <w:b/>
          <w:bCs/>
          <w:sz w:val="20"/>
          <w:szCs w:val="20"/>
        </w:rPr>
        <w:t xml:space="preserve">TC-A03</w:t>
      </w:r>
      <w:r>
        <w:rPr>
          <w:rFonts w:ascii="Arial" w:cs="Arial" w:eastAsia="Arial" w:hAnsi="Arial"/>
          <w:sz w:val="20"/>
          <w:szCs w:val="20"/>
        </w:rPr>
        <w:t xml:space="preserve"> — Race – Am. Indian (C41257)</w:t>
      </w:r>
    </w:p>
    <w:p>
      <w:pPr>
        <w:pStyle w:val="ListParagraph"/>
        <w:numPr>
          <w:ilvl w:val="0"/>
          <w:numId w:val="2"/>
        </w:numPr>
        <w:spacing w:after="40" w:before="40"/>
      </w:pPr>
      <w:r>
        <w:rPr>
          <w:rFonts w:ascii="Arial" w:cs="Arial" w:eastAsia="Arial" w:hAnsi="Arial"/>
          <w:b/>
          <w:bCs/>
          <w:sz w:val="20"/>
          <w:szCs w:val="20"/>
        </w:rPr>
        <w:t xml:space="preserve">TC-A04</w:t>
      </w:r>
      <w:r>
        <w:rPr>
          <w:rFonts w:ascii="Arial" w:cs="Arial" w:eastAsia="Arial" w:hAnsi="Arial"/>
          <w:sz w:val="20"/>
          <w:szCs w:val="20"/>
        </w:rPr>
        <w:t xml:space="preserve"> — Race – Hawaiian (C41258)</w:t>
      </w:r>
    </w:p>
    <w:p>
      <w:pPr>
        <w:pStyle w:val="ListParagraph"/>
        <w:numPr>
          <w:ilvl w:val="0"/>
          <w:numId w:val="2"/>
        </w:numPr>
        <w:spacing w:after="40" w:before="40"/>
      </w:pPr>
      <w:r>
        <w:rPr>
          <w:rFonts w:ascii="Arial" w:cs="Arial" w:eastAsia="Arial" w:hAnsi="Arial"/>
          <w:b/>
          <w:bCs/>
          <w:sz w:val="20"/>
          <w:szCs w:val="20"/>
        </w:rPr>
        <w:t xml:space="preserve">TC-B01</w:t>
      </w:r>
      <w:r>
        <w:rPr>
          <w:rFonts w:ascii="Arial" w:cs="Arial" w:eastAsia="Arial" w:hAnsi="Arial"/>
          <w:sz w:val="20"/>
          <w:szCs w:val="20"/>
        </w:rPr>
        <w:t xml:space="preserve"> — Med history – empty string</w:t>
      </w:r>
    </w:p>
    <w:p>
      <w:pPr>
        <w:pStyle w:val="ListParagraph"/>
        <w:numPr>
          <w:ilvl w:val="0"/>
          <w:numId w:val="2"/>
        </w:numPr>
        <w:spacing w:after="40" w:before="40"/>
      </w:pPr>
      <w:r>
        <w:rPr>
          <w:rFonts w:ascii="Arial" w:cs="Arial" w:eastAsia="Arial" w:hAnsi="Arial"/>
          <w:b/>
          <w:bCs/>
          <w:sz w:val="20"/>
          <w:szCs w:val="20"/>
        </w:rPr>
        <w:t xml:space="preserve">TC-C01</w:t>
      </w:r>
      <w:r>
        <w:rPr>
          <w:rFonts w:ascii="Arial" w:cs="Arial" w:eastAsia="Arial" w:hAnsi="Arial"/>
          <w:sz w:val="20"/>
          <w:szCs w:val="20"/>
        </w:rPr>
        <w:t xml:space="preserve"> — Reporter qual – code 2 (Pharma)</w:t>
      </w:r>
    </w:p>
    <w:p>
      <w:pPr>
        <w:pStyle w:val="ListParagraph"/>
        <w:numPr>
          <w:ilvl w:val="0"/>
          <w:numId w:val="2"/>
        </w:numPr>
        <w:spacing w:after="40" w:before="40"/>
      </w:pPr>
      <w:r>
        <w:rPr>
          <w:rFonts w:ascii="Arial" w:cs="Arial" w:eastAsia="Arial" w:hAnsi="Arial"/>
          <w:b/>
          <w:bCs/>
          <w:sz w:val="20"/>
          <w:szCs w:val="20"/>
        </w:rPr>
        <w:t xml:space="preserve">TC-D02</w:t>
      </w:r>
      <w:r>
        <w:rPr>
          <w:rFonts w:ascii="Arial" w:cs="Arial" w:eastAsia="Arial" w:hAnsi="Arial"/>
          <w:sz w:val="20"/>
          <w:szCs w:val="20"/>
        </w:rPr>
        <w:t xml:space="preserve"> — ActionTaken – 3 (dose increased)</w:t>
      </w:r>
    </w:p>
    <w:p>
      <w:pPr>
        <w:pStyle w:val="ListParagraph"/>
        <w:numPr>
          <w:ilvl w:val="0"/>
          <w:numId w:val="2"/>
        </w:numPr>
        <w:spacing w:after="40" w:before="40"/>
      </w:pPr>
      <w:r>
        <w:rPr>
          <w:rFonts w:ascii="Arial" w:cs="Arial" w:eastAsia="Arial" w:hAnsi="Arial"/>
          <w:b/>
          <w:bCs/>
          <w:sz w:val="20"/>
          <w:szCs w:val="20"/>
        </w:rPr>
        <w:t xml:space="preserve">TC-D03</w:t>
      </w:r>
      <w:r>
        <w:rPr>
          <w:rFonts w:ascii="Arial" w:cs="Arial" w:eastAsia="Arial" w:hAnsi="Arial"/>
          <w:sz w:val="20"/>
          <w:szCs w:val="20"/>
        </w:rPr>
        <w:t xml:space="preserve"> — ActionTaken – 5 (not applicable)</w:t>
      </w:r>
    </w:p>
    <w:p>
      <w:pPr>
        <w:pStyle w:val="ListParagraph"/>
        <w:numPr>
          <w:ilvl w:val="0"/>
          <w:numId w:val="2"/>
        </w:numPr>
        <w:spacing w:after="40" w:before="40"/>
      </w:pPr>
      <w:r>
        <w:rPr>
          <w:rFonts w:ascii="Arial" w:cs="Arial" w:eastAsia="Arial" w:hAnsi="Arial"/>
          <w:b/>
          <w:bCs/>
          <w:sz w:val="20"/>
          <w:szCs w:val="20"/>
        </w:rPr>
        <w:t xml:space="preserve">TC-D04</w:t>
      </w:r>
      <w:r>
        <w:rPr>
          <w:rFonts w:ascii="Arial" w:cs="Arial" w:eastAsia="Arial" w:hAnsi="Arial"/>
          <w:sz w:val="20"/>
          <w:szCs w:val="20"/>
        </w:rPr>
        <w:t xml:space="preserve"> — Dechallenge – 1 (Yes/positive)</w:t>
      </w:r>
    </w:p>
    <w:p>
      <w:pPr>
        <w:pStyle w:val="ListParagraph"/>
        <w:numPr>
          <w:ilvl w:val="0"/>
          <w:numId w:val="2"/>
        </w:numPr>
        <w:spacing w:after="40" w:before="40"/>
      </w:pPr>
      <w:r>
        <w:rPr>
          <w:rFonts w:ascii="Arial" w:cs="Arial" w:eastAsia="Arial" w:hAnsi="Arial"/>
          <w:b/>
          <w:bCs/>
          <w:sz w:val="20"/>
          <w:szCs w:val="20"/>
        </w:rPr>
        <w:t xml:space="preserve">TC-D06</w:t>
      </w:r>
      <w:r>
        <w:rPr>
          <w:rFonts w:ascii="Arial" w:cs="Arial" w:eastAsia="Arial" w:hAnsi="Arial"/>
          <w:sz w:val="20"/>
          <w:szCs w:val="20"/>
        </w:rPr>
        <w:t xml:space="preserve"> — Concom ActionTaken – 6 (unknown)</w:t>
      </w:r>
    </w:p>
    <w:p>
      <w:pPr>
        <w:pStyle w:val="ListParagraph"/>
        <w:numPr>
          <w:ilvl w:val="0"/>
          <w:numId w:val="2"/>
        </w:numPr>
        <w:spacing w:after="40" w:before="40"/>
      </w:pPr>
      <w:r>
        <w:rPr>
          <w:rFonts w:ascii="Arial" w:cs="Arial" w:eastAsia="Arial" w:hAnsi="Arial"/>
          <w:b/>
          <w:bCs/>
          <w:sz w:val="20"/>
          <w:szCs w:val="20"/>
        </w:rPr>
        <w:t xml:space="preserve">TC-E01</w:t>
      </w:r>
      <w:r>
        <w:rPr>
          <w:rFonts w:ascii="Arial" w:cs="Arial" w:eastAsia="Arial" w:hAnsi="Arial"/>
          <w:sz w:val="20"/>
          <w:szCs w:val="20"/>
        </w:rPr>
        <w:t xml:space="preserve"> — Weight absent (D.3 omitted)</w:t>
      </w:r>
    </w:p>
    <w:p>
      <w:pPr>
        <w:pStyle w:val="ListParagraph"/>
        <w:numPr>
          <w:ilvl w:val="0"/>
          <w:numId w:val="2"/>
        </w:numPr>
        <w:spacing w:after="40" w:before="40"/>
      </w:pPr>
      <w:r>
        <w:rPr>
          <w:rFonts w:ascii="Arial" w:cs="Arial" w:eastAsia="Arial" w:hAnsi="Arial"/>
          <w:b/>
          <w:bCs/>
          <w:sz w:val="20"/>
          <w:szCs w:val="20"/>
        </w:rPr>
        <w:t xml:space="preserve">TC-E02</w:t>
      </w:r>
      <w:r>
        <w:rPr>
          <w:rFonts w:ascii="Arial" w:cs="Arial" w:eastAsia="Arial" w:hAnsi="Arial"/>
          <w:sz w:val="20"/>
          <w:szCs w:val="20"/>
        </w:rPr>
        <w:t xml:space="preserve"> — BirthDate absent, age retained</w:t>
      </w:r>
    </w:p>
    <w:p>
      <w:pPr>
        <w:pStyle w:val="ListParagraph"/>
        <w:numPr>
          <w:ilvl w:val="0"/>
          <w:numId w:val="2"/>
        </w:numPr>
        <w:spacing w:after="40" w:before="40"/>
      </w:pPr>
      <w:r>
        <w:rPr>
          <w:rFonts w:ascii="Arial" w:cs="Arial" w:eastAsia="Arial" w:hAnsi="Arial"/>
          <w:b/>
          <w:bCs/>
          <w:sz w:val="20"/>
          <w:szCs w:val="20"/>
        </w:rPr>
        <w:t xml:space="preserve">TC-F01</w:t>
      </w:r>
      <w:r>
        <w:rPr>
          <w:rFonts w:ascii="Arial" w:cs="Arial" w:eastAsia="Arial" w:hAnsi="Arial"/>
          <w:sz w:val="20"/>
          <w:szCs w:val="20"/>
        </w:rPr>
        <w:t xml:space="preserve"> — Follow-Up report (A.1.7=2)</w:t>
      </w:r>
    </w:p>
    <w:p>
      <w:pPr>
        <w:pStyle w:val="ListParagraph"/>
        <w:numPr>
          <w:ilvl w:val="0"/>
          <w:numId w:val="2"/>
        </w:numPr>
        <w:spacing w:after="40" w:before="40"/>
      </w:pPr>
      <w:r>
        <w:rPr>
          <w:rFonts w:ascii="Arial" w:cs="Arial" w:eastAsia="Arial" w:hAnsi="Arial"/>
          <w:b/>
          <w:bCs/>
          <w:sz w:val="20"/>
          <w:szCs w:val="20"/>
        </w:rPr>
        <w:t xml:space="preserve">TC-G02</w:t>
      </w:r>
      <w:r>
        <w:rPr>
          <w:rFonts w:ascii="Arial" w:cs="Arial" w:eastAsia="Arial" w:hAnsi="Arial"/>
          <w:sz w:val="20"/>
          <w:szCs w:val="20"/>
        </w:rPr>
        <w:t xml:space="preserve"> — Outcome – 2 (Recovering)</w:t>
      </w:r>
    </w:p>
    <w:p>
      <w:pPr>
        <w:pStyle w:val="ListParagraph"/>
        <w:numPr>
          <w:ilvl w:val="0"/>
          <w:numId w:val="2"/>
        </w:numPr>
        <w:spacing w:after="40" w:before="40"/>
      </w:pPr>
      <w:r>
        <w:rPr>
          <w:rFonts w:ascii="Arial" w:cs="Arial" w:eastAsia="Arial" w:hAnsi="Arial"/>
          <w:b/>
          <w:bCs/>
          <w:sz w:val="20"/>
          <w:szCs w:val="20"/>
        </w:rPr>
        <w:t xml:space="preserve">TC-G03</w:t>
      </w:r>
      <w:r>
        <w:rPr>
          <w:rFonts w:ascii="Arial" w:cs="Arial" w:eastAsia="Arial" w:hAnsi="Arial"/>
          <w:sz w:val="20"/>
          <w:szCs w:val="20"/>
        </w:rPr>
        <w:t xml:space="preserve"> — Outcome – 4 (Recovered/sequelae)</w:t>
      </w:r>
    </w:p>
    <w:p>
      <w:pPr>
        <w:pStyle w:val="ListParagraph"/>
        <w:numPr>
          <w:ilvl w:val="0"/>
          <w:numId w:val="2"/>
        </w:numPr>
        <w:spacing w:after="40" w:before="40"/>
      </w:pPr>
      <w:r>
        <w:rPr>
          <w:rFonts w:ascii="Arial" w:cs="Arial" w:eastAsia="Arial" w:hAnsi="Arial"/>
          <w:b/>
          <w:bCs/>
          <w:sz w:val="20"/>
          <w:szCs w:val="20"/>
        </w:rPr>
        <w:t xml:space="preserve">TC-H01</w:t>
      </w:r>
      <w:r>
        <w:rPr>
          <w:rFonts w:ascii="Arial" w:cs="Arial" w:eastAsia="Arial" w:hAnsi="Arial"/>
          <w:sz w:val="20"/>
          <w:szCs w:val="20"/>
        </w:rPr>
        <w:t xml:space="preserve"> — additionalDocs=true (A.1.11=1)</w:t>
      </w:r>
    </w:p>
    <w:p>
      <w:pPr>
        <w:pStyle w:val="ListParagraph"/>
        <w:numPr>
          <w:ilvl w:val="0"/>
          <w:numId w:val="2"/>
        </w:numPr>
        <w:spacing w:after="40" w:before="40"/>
      </w:pPr>
      <w:r>
        <w:rPr>
          <w:rFonts w:ascii="Arial" w:cs="Arial" w:eastAsia="Arial" w:hAnsi="Arial"/>
          <w:b/>
          <w:bCs/>
          <w:sz w:val="20"/>
          <w:szCs w:val="20"/>
        </w:rPr>
        <w:t xml:space="preserve">TC-H03</w:t>
      </w:r>
      <w:r>
        <w:rPr>
          <w:rFonts w:ascii="Arial" w:cs="Arial" w:eastAsia="Arial" w:hAnsi="Arial"/>
          <w:sz w:val="20"/>
          <w:szCs w:val="20"/>
        </w:rPr>
        <w:t xml:space="preserve"> — Reporter org name changed</w:t>
      </w:r>
    </w:p>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4.  Gap Detail: Cases Needing Action (🔧)</w:t>
      </w:r>
    </w:p>
    <w:p>
      <w:pPr>
        <w:pStyle w:val="Heading2"/>
        <w:spacing w:after="120" w:before="200"/>
      </w:pPr>
      <w:r>
        <w:rPr>
          <w:rFonts w:ascii="Arial" w:cs="Arial" w:eastAsia="Arial" w:hAnsi="Arial"/>
          <w:b/>
          <w:bCs/>
          <w:color w:val="2E75B6"/>
          <w:sz w:val="26"/>
          <w:szCs w:val="26"/>
        </w:rPr>
        <w:t xml:space="preserve">4.1  TC-G01 — Non-Serious Case (needs regen)</w:t>
      </w:r>
    </w:p>
    <w:p>
      <w:pPr>
        <w:spacing w:after="80" w:before="80"/>
        <w:jc w:val="left"/>
      </w:pPr>
      <w:r>
        <w:rPr>
          <w:rFonts w:ascii="Arial" w:cs="Arial" w:eastAsia="Arial" w:hAnsi="Arial"/>
          <w:b/>
          <w:bCs/>
          <w:sz w:val="20"/>
          <w:szCs w:val="20"/>
        </w:rPr>
        <w:t xml:space="preserve">Status: </w:t>
      </w:r>
      <w:r>
        <w:rPr>
          <w:rFonts w:ascii="Arial" w:cs="Arial" w:eastAsia="Arial" w:hAnsi="Arial"/>
          <w:b/>
          <w:bCs/>
          <w:color w:val="7D1C00"/>
          <w:sz w:val="20"/>
          <w:szCs w:val="20"/>
        </w:rPr>
        <w:t xml:space="preserve">🔧 NEEDS REGEN</w:t>
      </w:r>
    </w:p>
    <w:p>
      <w:pPr>
        <w:spacing w:after="80" w:before="0"/>
      </w:pPr>
      <w:r>
        <w:t xml:space="preserve"/>
      </w:r>
    </w:p>
    <w:p>
      <w:pPr>
        <w:spacing w:after="80" w:before="80"/>
        <w:jc w:val="left"/>
      </w:pPr>
      <w:r>
        <w:rPr>
          <w:rFonts w:ascii="Arial" w:cs="Arial" w:eastAsia="Arial" w:hAnsi="Arial"/>
          <w:sz w:val="20"/>
          <w:szCs w:val="20"/>
        </w:rPr>
        <w:t xml:space="preserve">The fixture for TC-G01 was corrected by the linter after the headless CLI run:</w:t>
      </w:r>
    </w:p>
    <w:p>
      <w:pPr>
        <w:pStyle w:val="ListParagraph"/>
        <w:numPr>
          <w:ilvl w:val="0"/>
          <w:numId w:val="2"/>
        </w:numPr>
        <w:spacing w:after="40" w:before="40"/>
      </w:pPr>
      <w:r>
        <w:rPr>
          <w:rFonts w:ascii="Arial" w:cs="Arial" w:eastAsia="Arial" w:hAnsi="Arial"/>
          <w:sz w:val="20"/>
          <w:szCs w:val="20"/>
        </w:rPr>
        <w:t xml:space="preserve">Field renamed from disabling to disability in the seriousness object (both reactions)</w:t>
      </w:r>
    </w:p>
    <w:p>
      <w:pPr>
        <w:pStyle w:val="ListParagraph"/>
        <w:numPr>
          <w:ilvl w:val="0"/>
          <w:numId w:val="2"/>
        </w:numPr>
        <w:spacing w:after="40" w:before="40"/>
      </w:pPr>
      <w:r>
        <w:rPr>
          <w:rFonts w:ascii="Arial" w:cs="Arial" w:eastAsia="Arial" w:hAnsi="Arial"/>
          <w:sz w:val="20"/>
          <w:szCs w:val="20"/>
        </w:rPr>
        <w:t xml:space="preserve">The XML was never regenerated after this fix — no TC-G01-nonserous.xml exists in round2/</w:t>
      </w:r>
    </w:p>
    <w:p>
      <w:pPr>
        <w:spacing w:after="120" w:before="0"/>
      </w:pPr>
      <w:r>
        <w:t xml:space="preserve"/>
      </w:r>
    </w:p>
    <w:p>
      <w:pPr>
        <w:spacing w:after="80" w:before="80"/>
        <w:jc w:val="left"/>
      </w:pPr>
      <w:r>
        <w:rPr>
          <w:rFonts w:ascii="Arial" w:cs="Arial" w:eastAsia="Arial" w:hAnsi="Arial"/>
          <w:b/>
          <w:bCs/>
          <w:sz w:val="20"/>
          <w:szCs w:val="20"/>
        </w:rPr>
        <w:t xml:space="preserve">Required action:</w:t>
      </w:r>
    </w:p>
    <w:p>
      <w:pPr>
        <w:pStyle w:val="ListParagraph"/>
        <w:numPr>
          <w:ilvl w:val="0"/>
          <w:numId w:val="2"/>
        </w:numPr>
        <w:spacing w:after="40" w:before="40"/>
      </w:pPr>
      <w:r>
        <w:rPr>
          <w:rFonts w:ascii="Arial" w:cs="Arial" w:eastAsia="Arial" w:hAnsi="Arial"/>
          <w:sz w:val="20"/>
          <w:szCs w:val="20"/>
        </w:rPr>
        <w:t xml:space="preserve">Re-run the headless CLI against the updated TC-G01-nonserous.json fixture</w:t>
      </w:r>
    </w:p>
    <w:p>
      <w:pPr>
        <w:pStyle w:val="ListParagraph"/>
        <w:numPr>
          <w:ilvl w:val="0"/>
          <w:numId w:val="2"/>
        </w:numPr>
        <w:spacing w:after="40" w:before="40"/>
      </w:pPr>
      <w:r>
        <w:rPr>
          <w:rFonts w:ascii="Arial" w:cs="Arial" w:eastAsia="Arial" w:hAnsi="Arial"/>
          <w:sz w:val="20"/>
          <w:szCs w:val="20"/>
        </w:rPr>
        <w:t xml:space="preserve">Verify that all six seriousness flags are emitted as value="false" in the XML</w:t>
      </w:r>
    </w:p>
    <w:p>
      <w:pPr>
        <w:pStyle w:val="ListParagraph"/>
        <w:numPr>
          <w:ilvl w:val="0"/>
          <w:numId w:val="2"/>
        </w:numPr>
        <w:spacing w:after="40" w:before="40"/>
      </w:pPr>
      <w:r>
        <w:rPr>
          <w:rFonts w:ascii="Arial" w:cs="Arial" w:eastAsia="Arial" w:hAnsi="Arial"/>
          <w:sz w:val="20"/>
          <w:szCs w:val="20"/>
        </w:rPr>
        <w:t xml:space="preserve">Confirm A.1.2 (overall seriousness) is set to 2 (non-serious) in the output</w:t>
      </w:r>
    </w:p>
    <w:p>
      <w:pPr>
        <w:spacing w:after="120" w:before="0"/>
      </w:pPr>
      <w:r>
        <w:t xml:space="preserve"/>
      </w:r>
    </w:p>
    <w:p>
      <w:pPr>
        <w:pBdr>
          <w:left w:val="single" w:color="2E75B6" w:sz="12" w:space="4"/>
        </w:pBdr>
        <w:shd w:fill="EEF4FF" w:val="clear"/>
        <w:spacing w:after="80" w:before="80"/>
      </w:pPr>
      <w:r>
        <w:rPr>
          <w:rFonts w:ascii="Arial" w:cs="Arial" w:eastAsia="Arial" w:hAnsi="Arial"/>
          <w:b/>
          <w:bCs/>
          <w:sz w:val="20"/>
          <w:szCs w:val="20"/>
        </w:rPr>
        <w:t xml:space="preserve">Command:  </w:t>
      </w:r>
      <w:r>
        <w:rPr>
          <w:rFonts w:ascii="Arial" w:cs="Arial" w:eastAsia="Arial" w:hAnsi="Arial"/>
          <w:color w:val="1A1A7A"/>
          <w:sz w:val="20"/>
          <w:szCs w:val="20"/>
        </w:rPr>
        <w:t xml:space="preserve">ELECTRON_RUN_AS_NODE=1 ./node_modules/.bin/electron out/main/headless.js \</w:t>
      </w:r>
      <w:r>
        <w:rPr>
          <w:rFonts w:ascii="Arial" w:cs="Arial" w:eastAsia="Arial" w:hAnsi="Arial"/>
          <w:color w:val="1A1A7A"/>
          <w:sz w:val="20"/>
          <w:szCs w:val="20"/>
        </w:rPr>
        <w:t xml:space="preserve">  --fixture test/test_submission/examples/cases/round2/TC-G01-nonserous.json \</w:t>
      </w:r>
      <w:r>
        <w:rPr>
          <w:rFonts w:ascii="Arial" w:cs="Arial" w:eastAsia="Arial" w:hAnsi="Arial"/>
          <w:color w:val="1A1A7A"/>
          <w:sz w:val="20"/>
          <w:szCs w:val="20"/>
        </w:rPr>
        <w:t xml:space="preserve">  --out-dir test/test_submission/from_app/round2</w:t>
      </w:r>
    </w:p>
    <w:p>
      <w:pPr>
        <w:spacing w:after="240" w:before="0"/>
      </w:pPr>
      <w:r>
        <w:t xml:space="preserve"/>
      </w:r>
    </w:p>
    <w:p>
      <w:pPr>
        <w:pStyle w:val="Heading2"/>
        <w:spacing w:after="120" w:before="200"/>
      </w:pPr>
      <w:r>
        <w:rPr>
          <w:rFonts w:ascii="Arial" w:cs="Arial" w:eastAsia="Arial" w:hAnsi="Arial"/>
          <w:b/>
          <w:bCs/>
          <w:color w:val="2E75B6"/>
          <w:sz w:val="26"/>
          <w:szCs w:val="26"/>
        </w:rPr>
        <w:t xml:space="preserve">4.2  TC-F03 — Non-Expedited Report (needs 1-element XML patch)</w:t>
      </w:r>
    </w:p>
    <w:p>
      <w:pPr>
        <w:spacing w:after="80" w:before="80"/>
        <w:jc w:val="left"/>
      </w:pPr>
      <w:r>
        <w:rPr>
          <w:rFonts w:ascii="Arial" w:cs="Arial" w:eastAsia="Arial" w:hAnsi="Arial"/>
          <w:b/>
          <w:bCs/>
          <w:sz w:val="20"/>
          <w:szCs w:val="20"/>
        </w:rPr>
        <w:t xml:space="preserve">Status: </w:t>
      </w:r>
      <w:r>
        <w:rPr>
          <w:rFonts w:ascii="Arial" w:cs="Arial" w:eastAsia="Arial" w:hAnsi="Arial"/>
          <w:b/>
          <w:bCs/>
          <w:color w:val="7D1C00"/>
          <w:sz w:val="20"/>
          <w:szCs w:val="20"/>
        </w:rPr>
        <w:t xml:space="preserve">🔧 NEEDS PATCH</w:t>
      </w:r>
    </w:p>
    <w:p>
      <w:pPr>
        <w:spacing w:after="80" w:before="0"/>
      </w:pPr>
      <w:r>
        <w:t xml:space="preserve"/>
      </w:r>
    </w:p>
    <w:p>
      <w:pPr>
        <w:spacing w:after="80" w:before="80"/>
        <w:jc w:val="left"/>
      </w:pPr>
      <w:r>
        <w:rPr>
          <w:rFonts w:ascii="Arial" w:cs="Arial" w:eastAsia="Arial" w:hAnsi="Arial"/>
          <w:sz w:val="20"/>
          <w:szCs w:val="20"/>
        </w:rPr>
        <w:t xml:space="preserve">The XML was generated correctly by the headless CLI, but the generator hardcodes expeditedReport to true regardless of the fixture flag. The generated XML emits:</w:t>
      </w:r>
    </w:p>
    <w:p>
      <w:pPr>
        <w:spacing w:after="80" w:before="0"/>
      </w:pPr>
      <w:r>
        <w:t xml:space="preserve"/>
      </w:r>
    </w:p>
    <w:p>
      <w:pPr>
        <w:pBdr>
          <w:left w:val="single" w:color="C55A00" w:sz="12" w:space="4"/>
        </w:pBdr>
        <w:shd w:fill="FFF8F0" w:val="clear"/>
        <w:spacing w:after="80" w:before="80"/>
      </w:pPr>
      <w:r>
        <w:rPr>
          <w:rFonts w:ascii="Arial" w:cs="Arial" w:eastAsia="Arial" w:hAnsi="Arial"/>
          <w:color w:val="C00000"/>
          <w:sz w:val="20"/>
          <w:szCs w:val="20"/>
        </w:rPr>
        <w:t xml:space="preserve">&lt;value xsi:type="BL" value="true"/&gt;  ← must be "false"</w:t>
      </w:r>
    </w:p>
    <w:p>
      <w:pPr>
        <w:spacing w:after="80" w:before="0"/>
      </w:pPr>
      <w:r>
        <w:t xml:space="preserve"/>
      </w:r>
    </w:p>
    <w:p>
      <w:pPr>
        <w:spacing w:after="80" w:before="80"/>
        <w:jc w:val="left"/>
      </w:pPr>
      <w:r>
        <w:rPr>
          <w:rFonts w:ascii="Arial" w:cs="Arial" w:eastAsia="Arial" w:hAnsi="Arial"/>
          <w:b/>
          <w:bCs/>
          <w:sz w:val="20"/>
          <w:szCs w:val="20"/>
        </w:rPr>
        <w:t xml:space="preserve">Element location:</w:t>
      </w:r>
    </w:p>
    <w:p>
      <w:pPr>
        <w:pStyle w:val="ListParagraph"/>
        <w:numPr>
          <w:ilvl w:val="0"/>
          <w:numId w:val="2"/>
        </w:numPr>
        <w:spacing w:after="40" w:before="40"/>
      </w:pPr>
      <w:r>
        <w:rPr>
          <w:rFonts w:ascii="Arial" w:cs="Arial" w:eastAsia="Arial" w:hAnsi="Arial"/>
          <w:sz w:val="20"/>
          <w:szCs w:val="20"/>
        </w:rPr>
        <w:t xml:space="preserve">observationEvent/code[@displayName='localCriteriaForExpedited']</w:t>
      </w:r>
    </w:p>
    <w:p>
      <w:pPr>
        <w:pStyle w:val="ListParagraph"/>
        <w:numPr>
          <w:ilvl w:val="0"/>
          <w:numId w:val="2"/>
        </w:numPr>
        <w:spacing w:after="40" w:before="40"/>
      </w:pPr>
      <w:r>
        <w:rPr>
          <w:rFonts w:ascii="Arial" w:cs="Arial" w:eastAsia="Arial" w:hAnsi="Arial"/>
          <w:sz w:val="20"/>
          <w:szCs w:val="20"/>
        </w:rPr>
        <w:t xml:space="preserve">In the generated XML: from_app/round2/TC-F03-nonexpedited.xml</w:t>
      </w:r>
    </w:p>
    <w:p>
      <w:pPr>
        <w:spacing w:after="120" w:before="0"/>
      </w:pPr>
      <w:r>
        <w:t xml:space="preserve"/>
      </w:r>
    </w:p>
    <w:p>
      <w:pPr>
        <w:spacing w:after="80" w:before="80"/>
        <w:jc w:val="left"/>
      </w:pPr>
      <w:r>
        <w:rPr>
          <w:rFonts w:ascii="Arial" w:cs="Arial" w:eastAsia="Arial" w:hAnsi="Arial"/>
          <w:b/>
          <w:bCs/>
          <w:sz w:val="20"/>
          <w:szCs w:val="20"/>
        </w:rPr>
        <w:t xml:space="preserve">Required action:</w:t>
      </w:r>
    </w:p>
    <w:p>
      <w:pPr>
        <w:pStyle w:val="ListParagraph"/>
        <w:numPr>
          <w:ilvl w:val="0"/>
          <w:numId w:val="2"/>
        </w:numPr>
        <w:spacing w:after="40" w:before="40"/>
      </w:pPr>
      <w:r>
        <w:rPr>
          <w:rFonts w:ascii="Arial" w:cs="Arial" w:eastAsia="Arial" w:hAnsi="Arial"/>
          <w:sz w:val="20"/>
          <w:szCs w:val="20"/>
        </w:rPr>
        <w:t xml:space="preserve">Open TC-F03-nonexpedited.xml and find the localCriteriaForExpedited observationEvent block</w:t>
      </w:r>
    </w:p>
    <w:p>
      <w:pPr>
        <w:pStyle w:val="ListParagraph"/>
        <w:numPr>
          <w:ilvl w:val="0"/>
          <w:numId w:val="2"/>
        </w:numPr>
        <w:spacing w:after="40" w:before="40"/>
      </w:pPr>
      <w:r>
        <w:rPr>
          <w:rFonts w:ascii="Arial" w:cs="Arial" w:eastAsia="Arial" w:hAnsi="Arial"/>
          <w:sz w:val="20"/>
          <w:szCs w:val="20"/>
        </w:rPr>
        <w:t xml:space="preserve">Change &lt;value xsi:type="BL" value="true"/&gt; to &lt;value xsi:type="BL" value="false"/&gt;</w:t>
      </w:r>
    </w:p>
    <w:p>
      <w:pPr>
        <w:pStyle w:val="ListParagraph"/>
        <w:numPr>
          <w:ilvl w:val="0"/>
          <w:numId w:val="2"/>
        </w:numPr>
        <w:spacing w:after="40" w:before="40"/>
      </w:pPr>
      <w:r>
        <w:rPr>
          <w:rFonts w:ascii="Arial" w:cs="Arial" w:eastAsia="Arial" w:hAnsi="Arial"/>
          <w:sz w:val="20"/>
          <w:szCs w:val="20"/>
        </w:rPr>
        <w:t xml:space="preserve">Save, run the linter, then submit — no other changes needed</w:t>
      </w:r>
    </w:p>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5.  Gap Detail: Blocked Cases — Generator Hardcoding (⛔)</w:t>
      </w:r>
    </w:p>
    <w:p>
      <w:pPr>
        <w:spacing w:after="80" w:before="80"/>
        <w:jc w:val="left"/>
      </w:pPr>
      <w:r>
        <w:rPr>
          <w:rFonts w:ascii="Arial" w:cs="Arial" w:eastAsia="Arial" w:hAnsi="Arial"/>
          <w:sz w:val="20"/>
          <w:szCs w:val="20"/>
        </w:rPr>
        <w:t xml:space="preserve">These 4 cases cannot be driven through the JSON fixture → headless CLI path. </w:t>
      </w:r>
      <w:r>
        <w:rPr>
          <w:rFonts w:ascii="Arial" w:cs="Arial" w:eastAsia="Arial" w:hAnsi="Arial"/>
          <w:sz w:val="20"/>
          <w:szCs w:val="20"/>
        </w:rPr>
        <w:t xml:space="preserve">The XML generator hardcodes the relevant field values regardless of fixture input. </w:t>
      </w:r>
      <w:r>
        <w:rPr>
          <w:rFonts w:ascii="Arial" w:cs="Arial" w:eastAsia="Arial" w:hAnsi="Arial"/>
          <w:sz w:val="20"/>
          <w:szCs w:val="20"/>
        </w:rPr>
        <w:t xml:space="preserve">Each case requires creating a patched XML by starting from the 2L8T baseline or a similar accepted XML and editing the specific element(s) directly.</w:t>
      </w:r>
    </w:p>
    <w:p>
      <w:pPr>
        <w:spacing w:after="200" w:before="0"/>
      </w:pPr>
      <w:r>
        <w:t xml:space="preserve"/>
      </w:r>
    </w:p>
    <w:p>
      <w:pPr>
        <w:pStyle w:val="Heading2"/>
        <w:spacing w:after="120" w:before="200"/>
      </w:pPr>
      <w:r>
        <w:rPr>
          <w:rFonts w:ascii="Arial" w:cs="Arial" w:eastAsia="Arial" w:hAnsi="Arial"/>
          <w:b/>
          <w:bCs/>
          <w:color w:val="2E75B6"/>
          <w:sz w:val="26"/>
          <w:szCs w:val="26"/>
        </w:rPr>
        <w:t xml:space="preserve">5.1  TC-A06 — Ethnicity nullFlavor=NI</w:t>
      </w:r>
    </w:p>
    <w:p>
      <w:pPr>
        <w:spacing w:after="80" w:before="80"/>
        <w:jc w:val="left"/>
      </w:pPr>
      <w:r>
        <w:rPr>
          <w:rFonts w:ascii="Arial" w:cs="Arial" w:eastAsia="Arial" w:hAnsi="Arial"/>
          <w:b/>
          <w:bCs/>
          <w:sz w:val="20"/>
          <w:szCs w:val="20"/>
        </w:rPr>
        <w:t xml:space="preserve">Blocker:</w:t>
      </w:r>
      <w:r>
        <w:rPr>
          <w:rFonts w:ascii="Arial" w:cs="Arial" w:eastAsia="Arial" w:hAnsi="Arial"/>
          <w:sz w:val="20"/>
          <w:szCs w:val="20"/>
        </w:rPr>
        <w:t xml:space="preserve"> The XML generator defaults race to C41260 (White) and ethnicity to C41222 (Not Hispanic or Latino) whenever those fields are absent in the fixture. There is no fixture path to emit nullFlavor="NI" on the ethnicity element.</w:t>
      </w:r>
    </w:p>
    <w:p>
      <w:pPr>
        <w:spacing w:after="80" w:before="0"/>
      </w:pPr>
      <w:r>
        <w:t xml:space="preserve"/>
      </w:r>
    </w:p>
    <w:p>
      <w:pPr>
        <w:spacing w:after="80" w:before="80"/>
        <w:jc w:val="left"/>
      </w:pPr>
      <w:r>
        <w:rPr>
          <w:rFonts w:ascii="Arial" w:cs="Arial" w:eastAsia="Arial" w:hAnsi="Arial"/>
          <w:b/>
          <w:bCs/>
          <w:sz w:val="20"/>
          <w:szCs w:val="20"/>
        </w:rPr>
        <w:t xml:space="preserve">Fix:</w:t>
      </w:r>
    </w:p>
    <w:p>
      <w:pPr>
        <w:pStyle w:val="ListParagraph"/>
        <w:numPr>
          <w:ilvl w:val="0"/>
          <w:numId w:val="2"/>
        </w:numPr>
        <w:spacing w:after="40" w:before="40"/>
      </w:pPr>
      <w:r>
        <w:rPr>
          <w:rFonts w:ascii="Arial" w:cs="Arial" w:eastAsia="Arial" w:hAnsi="Arial"/>
          <w:sz w:val="20"/>
          <w:szCs w:val="20"/>
        </w:rPr>
        <w:t xml:space="preserve">Copy an accepted baseline XML (e.g., TC-A01 or 2L8T baseline)</w:t>
      </w:r>
    </w:p>
    <w:p>
      <w:pPr>
        <w:pStyle w:val="ListParagraph"/>
        <w:numPr>
          <w:ilvl w:val="0"/>
          <w:numId w:val="2"/>
        </w:numPr>
        <w:spacing w:after="40" w:before="40"/>
      </w:pPr>
      <w:r>
        <w:rPr>
          <w:rFonts w:ascii="Arial" w:cs="Arial" w:eastAsia="Arial" w:hAnsi="Arial"/>
          <w:sz w:val="20"/>
          <w:szCs w:val="20"/>
        </w:rPr>
        <w:t xml:space="preserve">Locate the ethnicity observationEvent and replace the coded value element with: &lt;value nullFlavor="NI"/&gt;</w:t>
      </w:r>
    </w:p>
    <w:p>
      <w:pPr>
        <w:pStyle w:val="ListParagraph"/>
        <w:numPr>
          <w:ilvl w:val="0"/>
          <w:numId w:val="2"/>
        </w:numPr>
        <w:spacing w:after="40" w:before="40"/>
      </w:pPr>
      <w:r>
        <w:rPr>
          <w:rFonts w:ascii="Arial" w:cs="Arial" w:eastAsia="Arial" w:hAnsi="Arial"/>
          <w:sz w:val="20"/>
          <w:szCs w:val="20"/>
        </w:rPr>
        <w:t xml:space="preserve">Update safetyReportId/worldwideCaseId to SR-CASE-EXAMPLE-TCA06 throughout</w:t>
      </w:r>
    </w:p>
    <w:p>
      <w:pPr>
        <w:pStyle w:val="ListParagraph"/>
        <w:numPr>
          <w:ilvl w:val="0"/>
          <w:numId w:val="2"/>
        </w:numPr>
        <w:spacing w:after="40" w:before="40"/>
      </w:pPr>
      <w:r>
        <w:rPr>
          <w:rFonts w:ascii="Arial" w:cs="Arial" w:eastAsia="Arial" w:hAnsi="Arial"/>
          <w:sz w:val="20"/>
          <w:szCs w:val="20"/>
        </w:rPr>
        <w:t xml:space="preserve">Lint and submit</w:t>
      </w:r>
    </w:p>
    <w:p>
      <w:pPr>
        <w:spacing w:after="200" w:before="0"/>
      </w:pPr>
      <w:r>
        <w:t xml:space="preserve"/>
      </w:r>
    </w:p>
    <w:p>
      <w:pPr>
        <w:pStyle w:val="Heading2"/>
        <w:spacing w:after="120" w:before="200"/>
      </w:pPr>
      <w:r>
        <w:rPr>
          <w:rFonts w:ascii="Arial" w:cs="Arial" w:eastAsia="Arial" w:hAnsi="Arial"/>
          <w:b/>
          <w:bCs/>
          <w:color w:val="2E75B6"/>
          <w:sz w:val="26"/>
          <w:szCs w:val="26"/>
        </w:rPr>
        <w:t xml:space="preserve">5.2  TC-F02 — Combination Product = true</w:t>
      </w:r>
    </w:p>
    <w:p>
      <w:pPr>
        <w:spacing w:after="80" w:before="80"/>
        <w:jc w:val="left"/>
      </w:pPr>
      <w:r>
        <w:rPr>
          <w:rFonts w:ascii="Arial" w:cs="Arial" w:eastAsia="Arial" w:hAnsi="Arial"/>
          <w:b/>
          <w:bCs/>
          <w:sz w:val="20"/>
          <w:szCs w:val="20"/>
        </w:rPr>
        <w:t xml:space="preserve">Blocker:</w:t>
      </w:r>
      <w:r>
        <w:rPr>
          <w:rFonts w:ascii="Arial" w:cs="Arial" w:eastAsia="Arial" w:hAnsi="Arial"/>
          <w:sz w:val="20"/>
          <w:szCs w:val="20"/>
        </w:rPr>
        <w:t xml:space="preserve"> The generator hardcodes the combinationProduct element to value="false" (NCI code C156384). No fixture field controls this.</w:t>
      </w:r>
    </w:p>
    <w:p>
      <w:pPr>
        <w:spacing w:after="80" w:before="0"/>
      </w:pPr>
      <w:r>
        <w:t xml:space="preserve"/>
      </w:r>
    </w:p>
    <w:p>
      <w:pPr>
        <w:spacing w:after="80" w:before="80"/>
        <w:jc w:val="left"/>
      </w:pPr>
      <w:r>
        <w:rPr>
          <w:rFonts w:ascii="Arial" w:cs="Arial" w:eastAsia="Arial" w:hAnsi="Arial"/>
          <w:b/>
          <w:bCs/>
          <w:sz w:val="20"/>
          <w:szCs w:val="20"/>
        </w:rPr>
        <w:t xml:space="preserve">Fix:</w:t>
      </w:r>
    </w:p>
    <w:p>
      <w:pPr>
        <w:pStyle w:val="ListParagraph"/>
        <w:numPr>
          <w:ilvl w:val="0"/>
          <w:numId w:val="2"/>
        </w:numPr>
        <w:spacing w:after="40" w:before="40"/>
      </w:pPr>
      <w:r>
        <w:rPr>
          <w:rFonts w:ascii="Arial" w:cs="Arial" w:eastAsia="Arial" w:hAnsi="Arial"/>
          <w:sz w:val="20"/>
          <w:szCs w:val="20"/>
        </w:rPr>
        <w:t xml:space="preserve">Start from a baseline XML, find: &lt;value xsi:type="BL" value="false"/&gt; under the C156384 code</w:t>
      </w:r>
    </w:p>
    <w:p>
      <w:pPr>
        <w:pStyle w:val="ListParagraph"/>
        <w:numPr>
          <w:ilvl w:val="0"/>
          <w:numId w:val="2"/>
        </w:numPr>
        <w:spacing w:after="40" w:before="40"/>
      </w:pPr>
      <w:r>
        <w:rPr>
          <w:rFonts w:ascii="Arial" w:cs="Arial" w:eastAsia="Arial" w:hAnsi="Arial"/>
          <w:sz w:val="20"/>
          <w:szCs w:val="20"/>
        </w:rPr>
        <w:t xml:space="preserve">Change to value="true"</w:t>
      </w:r>
    </w:p>
    <w:p>
      <w:pPr>
        <w:pStyle w:val="ListParagraph"/>
        <w:numPr>
          <w:ilvl w:val="0"/>
          <w:numId w:val="2"/>
        </w:numPr>
        <w:spacing w:after="40" w:before="40"/>
      </w:pPr>
      <w:r>
        <w:rPr>
          <w:rFonts w:ascii="Arial" w:cs="Arial" w:eastAsia="Arial" w:hAnsi="Arial"/>
          <w:sz w:val="20"/>
          <w:szCs w:val="20"/>
        </w:rPr>
        <w:t xml:space="preserve">Update report ID to SR-CASE-EXAMPLE-TCF02, lint, and submit</w:t>
      </w:r>
    </w:p>
    <w:p>
      <w:pPr>
        <w:spacing w:after="200" w:before="0"/>
      </w:pPr>
      <w:r>
        <w:t xml:space="preserve"/>
      </w:r>
    </w:p>
    <w:p>
      <w:pPr>
        <w:pStyle w:val="Heading2"/>
        <w:spacing w:after="120" w:before="200"/>
      </w:pPr>
      <w:r>
        <w:rPr>
          <w:rFonts w:ascii="Arial" w:cs="Arial" w:eastAsia="Arial" w:hAnsi="Arial"/>
          <w:b/>
          <w:bCs/>
          <w:color w:val="2E75B6"/>
          <w:sz w:val="26"/>
          <w:szCs w:val="26"/>
        </w:rPr>
        <w:t xml:space="preserve">5.3  TC-F04 — ICH Report Type Code = 2 (Postmarket)</w:t>
      </w:r>
    </w:p>
    <w:p>
      <w:pPr>
        <w:spacing w:after="80" w:before="80"/>
        <w:jc w:val="left"/>
      </w:pPr>
      <w:r>
        <w:rPr>
          <w:rFonts w:ascii="Arial" w:cs="Arial" w:eastAsia="Arial" w:hAnsi="Arial"/>
          <w:b/>
          <w:bCs/>
          <w:sz w:val="20"/>
          <w:szCs w:val="20"/>
        </w:rPr>
        <w:t xml:space="preserve">Blocker:</w:t>
      </w:r>
      <w:r>
        <w:rPr>
          <w:rFonts w:ascii="Arial" w:cs="Arial" w:eastAsia="Arial" w:hAnsi="Arial"/>
          <w:sz w:val="20"/>
          <w:szCs w:val="20"/>
        </w:rPr>
        <w:t xml:space="preserve"> ICH report type code=2 (periodic/expedited on postmarket channel) requires caseType='ind' or 'babe' at the application level. Emitting code=2 on the postmarket AERS channel via fixture is not possible — the generator sets the report type code based on caseType, which routes to AERS_PREMKT_CDER when set to ind.</w:t>
      </w:r>
    </w:p>
    <w:p>
      <w:pPr>
        <w:spacing w:after="80" w:before="0"/>
      </w:pPr>
      <w:r>
        <w:t xml:space="preserve"/>
      </w:r>
    </w:p>
    <w:p>
      <w:pPr>
        <w:spacing w:after="80" w:before="80"/>
        <w:jc w:val="left"/>
      </w:pPr>
      <w:r>
        <w:rPr>
          <w:rFonts w:ascii="Arial" w:cs="Arial" w:eastAsia="Arial" w:hAnsi="Arial"/>
          <w:b/>
          <w:bCs/>
          <w:sz w:val="20"/>
          <w:szCs w:val="20"/>
        </w:rPr>
        <w:t xml:space="preserve">Fix:</w:t>
      </w:r>
    </w:p>
    <w:p>
      <w:pPr>
        <w:pStyle w:val="ListParagraph"/>
        <w:numPr>
          <w:ilvl w:val="0"/>
          <w:numId w:val="2"/>
        </w:numPr>
        <w:spacing w:after="40" w:before="40"/>
      </w:pPr>
      <w:r>
        <w:rPr>
          <w:rFonts w:ascii="Arial" w:cs="Arial" w:eastAsia="Arial" w:hAnsi="Arial"/>
          <w:sz w:val="20"/>
          <w:szCs w:val="20"/>
        </w:rPr>
        <w:t xml:space="preserve">Create a postmarket baseline XML with the ICH reportType element manually set to code=2</w:t>
      </w:r>
    </w:p>
    <w:p>
      <w:pPr>
        <w:pStyle w:val="ListParagraph"/>
        <w:numPr>
          <w:ilvl w:val="0"/>
          <w:numId w:val="2"/>
        </w:numPr>
        <w:spacing w:after="40" w:before="40"/>
      </w:pPr>
      <w:r>
        <w:rPr>
          <w:rFonts w:ascii="Arial" w:cs="Arial" w:eastAsia="Arial" w:hAnsi="Arial"/>
          <w:sz w:val="20"/>
          <w:szCs w:val="20"/>
        </w:rPr>
        <w:t xml:space="preserve">Note: This requires verifying the exact OID and element path for ICH report type in the CDER 2.18 IG</w:t>
      </w:r>
    </w:p>
    <w:p>
      <w:pPr>
        <w:pStyle w:val="ListParagraph"/>
        <w:numPr>
          <w:ilvl w:val="0"/>
          <w:numId w:val="2"/>
        </w:numPr>
        <w:spacing w:after="40" w:before="40"/>
      </w:pPr>
      <w:r>
        <w:rPr>
          <w:rFonts w:ascii="Arial" w:cs="Arial" w:eastAsia="Arial" w:hAnsi="Arial"/>
          <w:sz w:val="20"/>
          <w:szCs w:val="20"/>
        </w:rPr>
        <w:t xml:space="preserve">Update ID to SR-CASE-EXAMPLE-TCF04, lint, submit to AERS portal (not AERS_PREMKT_CDER)</w:t>
      </w:r>
    </w:p>
    <w:p>
      <w:pPr>
        <w:spacing w:after="200" w:before="0"/>
      </w:pPr>
      <w:r>
        <w:t xml:space="preserve"/>
      </w:r>
    </w:p>
    <w:p>
      <w:pPr>
        <w:pStyle w:val="Heading2"/>
        <w:spacing w:after="120" w:before="200"/>
      </w:pPr>
      <w:r>
        <w:rPr>
          <w:rFonts w:ascii="Arial" w:cs="Arial" w:eastAsia="Arial" w:hAnsi="Arial"/>
          <w:b/>
          <w:bCs/>
          <w:color w:val="2E75B6"/>
          <w:sz w:val="26"/>
          <w:szCs w:val="26"/>
        </w:rPr>
        <w:t xml:space="preserve">5.4  TC-H02 — asLocatedEntity Absent</w:t>
      </w:r>
    </w:p>
    <w:p>
      <w:pPr>
        <w:spacing w:after="80" w:before="80"/>
        <w:jc w:val="left"/>
      </w:pPr>
      <w:r>
        <w:rPr>
          <w:rFonts w:ascii="Arial" w:cs="Arial" w:eastAsia="Arial" w:hAnsi="Arial"/>
          <w:b/>
          <w:bCs/>
          <w:sz w:val="20"/>
          <w:szCs w:val="20"/>
        </w:rPr>
        <w:t xml:space="preserve">Blocker:</w:t>
      </w:r>
      <w:r>
        <w:rPr>
          <w:rFonts w:ascii="Arial" w:cs="Arial" w:eastAsia="Arial" w:hAnsi="Arial"/>
          <w:sz w:val="20"/>
          <w:szCs w:val="20"/>
        </w:rPr>
        <w:t xml:space="preserve"> The buildReporter() function in xmlGeneratorService.ts unconditionally emits the asLocatedEntity block for the reporter. There is no fixture field to suppress it.</w:t>
      </w:r>
    </w:p>
    <w:p>
      <w:pPr>
        <w:spacing w:after="80" w:before="0"/>
      </w:pPr>
      <w:r>
        <w:t xml:space="preserve"/>
      </w:r>
    </w:p>
    <w:p>
      <w:pPr>
        <w:spacing w:after="80" w:before="80"/>
        <w:jc w:val="left"/>
      </w:pPr>
      <w:r>
        <w:rPr>
          <w:rFonts w:ascii="Arial" w:cs="Arial" w:eastAsia="Arial" w:hAnsi="Arial"/>
          <w:b/>
          <w:bCs/>
          <w:sz w:val="20"/>
          <w:szCs w:val="20"/>
        </w:rPr>
        <w:t xml:space="preserve">Fix:</w:t>
      </w:r>
    </w:p>
    <w:p>
      <w:pPr>
        <w:pStyle w:val="ListParagraph"/>
        <w:numPr>
          <w:ilvl w:val="0"/>
          <w:numId w:val="2"/>
        </w:numPr>
        <w:spacing w:after="40" w:before="40"/>
      </w:pPr>
      <w:r>
        <w:rPr>
          <w:rFonts w:ascii="Arial" w:cs="Arial" w:eastAsia="Arial" w:hAnsi="Arial"/>
          <w:sz w:val="20"/>
          <w:szCs w:val="20"/>
        </w:rPr>
        <w:t xml:space="preserve">Start from a baseline XML, locate the &lt;asLocatedEntity classCode="LOCE"&gt; block inside the reporter assignedPerson</w:t>
      </w:r>
    </w:p>
    <w:p>
      <w:pPr>
        <w:pStyle w:val="ListParagraph"/>
        <w:numPr>
          <w:ilvl w:val="0"/>
          <w:numId w:val="2"/>
        </w:numPr>
        <w:spacing w:after="40" w:before="40"/>
      </w:pPr>
      <w:r>
        <w:rPr>
          <w:rFonts w:ascii="Arial" w:cs="Arial" w:eastAsia="Arial" w:hAnsi="Arial"/>
          <w:sz w:val="20"/>
          <w:szCs w:val="20"/>
        </w:rPr>
        <w:t xml:space="preserve">Delete the entire asLocatedEntity element (including its location/code child)</w:t>
      </w:r>
    </w:p>
    <w:p>
      <w:pPr>
        <w:pStyle w:val="ListParagraph"/>
        <w:numPr>
          <w:ilvl w:val="0"/>
          <w:numId w:val="2"/>
        </w:numPr>
        <w:spacing w:after="40" w:before="40"/>
      </w:pPr>
      <w:r>
        <w:rPr>
          <w:rFonts w:ascii="Arial" w:cs="Arial" w:eastAsia="Arial" w:hAnsi="Arial"/>
          <w:sz w:val="20"/>
          <w:szCs w:val="20"/>
        </w:rPr>
        <w:t xml:space="preserve">Update ID to SR-CASE-EXAMPLE-TCH02, lint, submit</w:t>
      </w:r>
    </w:p>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6.  Known Generator Limitations</w:t>
      </w:r>
    </w:p>
    <w:p>
      <w:pPr>
        <w:spacing w:after="80" w:before="80"/>
        <w:jc w:val="left"/>
      </w:pPr>
      <w:r>
        <w:rPr>
          <w:rFonts w:ascii="Arial" w:cs="Arial" w:eastAsia="Arial" w:hAnsi="Arial"/>
          <w:sz w:val="20"/>
          <w:szCs w:val="20"/>
        </w:rPr>
        <w:t xml:space="preserve">The following behaviors are hardcoded in xmlGeneratorService.ts and cannot be overridden via fixture input. They are documented here as known gaps for future code enhancement: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60"/>
        <w:gridCol w:w="24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Field / Element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Hardcoded Behavior</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Affects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Enhancement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combinationProduct (C156384)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Always emits value="false"</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TC-F02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Add combinationProduct: boolean to CaseData type</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asLocatedEntity (reporter)</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Always emitted in buildReporter()</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TC-H02</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Add includeReporterLocation: boolean flag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Ethnicity default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Defaults to C41222 when ethnicity absent; no nullFlavor=NI path</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TC-A06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Allow null to emit nullFlavor=NI</w:t>
            </w:r>
          </w:p>
        </w:tc>
      </w:tr>
      <w:tr>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ICH report type code</w:t>
            </w:r>
          </w:p>
        </w:tc>
        <w:tc>
          <w:tcPr>
            <w:tcW w:type="dxa" w:w="3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Driven by caseType field — code=2 routes to PREMKT portal</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TC-F04</w:t>
            </w:r>
          </w:p>
        </w:tc>
        <w:tc>
          <w:tcPr>
            <w:tcW w:type="dxa" w:w="24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Decouple report type code from routing channel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expeditedReport flag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localCriteriaForExpedited always emits value="true"</w:t>
            </w:r>
          </w:p>
        </w:tc>
        <w:tc>
          <w:tcPr>
            <w:tcW w:type="dxa" w:w="1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TC-F03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Wire fixture.expeditedReport to BL value attribute</w:t>
            </w:r>
          </w:p>
        </w:tc>
      </w:tr>
    </w:tbl>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7.  Next Steps (Prioritized)</w:t>
      </w:r>
    </w:p>
    <w:p>
      <w:pPr>
        <w:pStyle w:val="Heading2"/>
        <w:spacing w:after="120" w:before="200"/>
      </w:pPr>
      <w:r>
        <w:rPr>
          <w:rFonts w:ascii="Arial" w:cs="Arial" w:eastAsia="Arial" w:hAnsi="Arial"/>
          <w:b/>
          <w:bCs/>
          <w:color w:val="2E75B6"/>
          <w:sz w:val="26"/>
          <w:szCs w:val="26"/>
        </w:rPr>
        <w:t xml:space="preserve">Immediate (no code changes required)</w:t>
      </w:r>
    </w:p>
    <w:p>
      <w:pPr>
        <w:pStyle w:val="ListParagraph"/>
        <w:numPr>
          <w:ilvl w:val="0"/>
          <w:numId w:val="3"/>
        </w:numPr>
        <w:spacing w:after="40" w:before="40"/>
      </w:pPr>
      <w:r>
        <w:rPr>
          <w:rFonts w:ascii="Arial" w:cs="Arial" w:eastAsia="Arial" w:hAnsi="Arial"/>
          <w:sz w:val="20"/>
          <w:szCs w:val="20"/>
        </w:rPr>
        <w:t xml:space="preserve">Regenerate TC-G01 by re-running the headless CLI against the linter-corrected fixture.</w:t>
      </w:r>
    </w:p>
    <w:p>
      <w:pPr>
        <w:pStyle w:val="ListParagraph"/>
        <w:numPr>
          <w:ilvl w:val="0"/>
          <w:numId w:val="3"/>
        </w:numPr>
        <w:spacing w:after="40" w:before="40"/>
      </w:pPr>
      <w:r>
        <w:rPr>
          <w:rFonts w:ascii="Arial" w:cs="Arial" w:eastAsia="Arial" w:hAnsi="Arial"/>
          <w:sz w:val="20"/>
          <w:szCs w:val="20"/>
        </w:rPr>
        <w:t xml:space="preserve">Patch TC-F03: change localCriteriaForExpedited value="true" → value="false" in the generated XML.</w:t>
      </w:r>
    </w:p>
    <w:p>
      <w:pPr>
        <w:pStyle w:val="ListParagraph"/>
        <w:numPr>
          <w:ilvl w:val="0"/>
          <w:numId w:val="3"/>
        </w:numPr>
        <w:spacing w:after="40" w:before="40"/>
      </w:pPr>
      <w:r>
        <w:rPr>
          <w:rFonts w:ascii="Arial" w:cs="Arial" w:eastAsia="Arial" w:hAnsi="Arial"/>
          <w:sz w:val="20"/>
          <w:szCs w:val="20"/>
        </w:rPr>
        <w:t xml:space="preserve">Submit the 5 Track A XMLs already on disk: TC-A02, TC-C02, TC-D01, TC-D05, TC-G04.</w:t>
      </w:r>
    </w:p>
    <w:p>
      <w:pPr>
        <w:pStyle w:val="ListParagraph"/>
        <w:numPr>
          <w:ilvl w:val="0"/>
          <w:numId w:val="3"/>
        </w:numPr>
        <w:spacing w:after="40" w:before="40"/>
      </w:pPr>
      <w:r>
        <w:rPr>
          <w:rFonts w:ascii="Arial" w:cs="Arial" w:eastAsia="Arial" w:hAnsi="Arial"/>
          <w:sz w:val="20"/>
          <w:szCs w:val="20"/>
        </w:rPr>
        <w:t xml:space="preserve">Submit the 15 Track B round2 XMLs (after TC-G01 is regenerated, 16 total).</w:t>
      </w:r>
    </w:p>
    <w:p>
      <w:pPr>
        <w:spacing w:after="120" w:before="0"/>
      </w:pPr>
      <w:r>
        <w:t xml:space="preserve"/>
      </w:r>
    </w:p>
    <w:p>
      <w:pPr>
        <w:pStyle w:val="Heading2"/>
        <w:spacing w:after="120" w:before="200"/>
      </w:pPr>
      <w:r>
        <w:rPr>
          <w:rFonts w:ascii="Arial" w:cs="Arial" w:eastAsia="Arial" w:hAnsi="Arial"/>
          <w:b/>
          <w:bCs/>
          <w:color w:val="2E75B6"/>
          <w:sz w:val="26"/>
          <w:szCs w:val="26"/>
        </w:rPr>
        <w:t xml:space="preserve">Short-term (XML surgery, no generator code changes)</w:t>
      </w:r>
    </w:p>
    <w:p>
      <w:pPr>
        <w:pStyle w:val="ListParagraph"/>
        <w:numPr>
          <w:ilvl w:val="0"/>
          <w:numId w:val="3"/>
        </w:numPr>
        <w:spacing w:after="40" w:before="40"/>
      </w:pPr>
      <w:r>
        <w:rPr>
          <w:rFonts w:ascii="Arial" w:cs="Arial" w:eastAsia="Arial" w:hAnsi="Arial"/>
          <w:sz w:val="20"/>
          <w:szCs w:val="20"/>
        </w:rPr>
        <w:t xml:space="preserve">TC-A06: Edit baseline XML to emit ethnicity nullFlavor=NI.</w:t>
      </w:r>
    </w:p>
    <w:p>
      <w:pPr>
        <w:pStyle w:val="ListParagraph"/>
        <w:numPr>
          <w:ilvl w:val="0"/>
          <w:numId w:val="3"/>
        </w:numPr>
        <w:spacing w:after="40" w:before="40"/>
      </w:pPr>
      <w:r>
        <w:rPr>
          <w:rFonts w:ascii="Arial" w:cs="Arial" w:eastAsia="Arial" w:hAnsi="Arial"/>
          <w:sz w:val="20"/>
          <w:szCs w:val="20"/>
        </w:rPr>
        <w:t xml:space="preserve">TC-H02: Edit baseline XML to remove asLocatedEntity block from reporter.</w:t>
      </w:r>
    </w:p>
    <w:p>
      <w:pPr>
        <w:pStyle w:val="ListParagraph"/>
        <w:numPr>
          <w:ilvl w:val="0"/>
          <w:numId w:val="3"/>
        </w:numPr>
        <w:spacing w:after="40" w:before="40"/>
      </w:pPr>
      <w:r>
        <w:rPr>
          <w:rFonts w:ascii="Arial" w:cs="Arial" w:eastAsia="Arial" w:hAnsi="Arial"/>
          <w:sz w:val="20"/>
          <w:szCs w:val="20"/>
        </w:rPr>
        <w:t xml:space="preserve">TC-F02: Edit baseline XML to change combinationProduct to value="true".</w:t>
      </w:r>
    </w:p>
    <w:p>
      <w:pPr>
        <w:pStyle w:val="ListParagraph"/>
        <w:numPr>
          <w:ilvl w:val="0"/>
          <w:numId w:val="3"/>
        </w:numPr>
        <w:spacing w:after="40" w:before="40"/>
      </w:pPr>
      <w:r>
        <w:rPr>
          <w:rFonts w:ascii="Arial" w:cs="Arial" w:eastAsia="Arial" w:hAnsi="Arial"/>
          <w:sz w:val="20"/>
          <w:szCs w:val="20"/>
        </w:rPr>
        <w:t xml:space="preserve">TC-F04: Create postmarket XML with ICH report type code=2 per CDER 2.18 IG.</w:t>
      </w:r>
    </w:p>
    <w:p>
      <w:pPr>
        <w:spacing w:after="120" w:before="0"/>
      </w:pPr>
      <w:r>
        <w:t xml:space="preserve"/>
      </w:r>
    </w:p>
    <w:p>
      <w:pPr>
        <w:pStyle w:val="Heading2"/>
        <w:spacing w:after="120" w:before="200"/>
      </w:pPr>
      <w:r>
        <w:rPr>
          <w:rFonts w:ascii="Arial" w:cs="Arial" w:eastAsia="Arial" w:hAnsi="Arial"/>
          <w:b/>
          <w:bCs/>
          <w:color w:val="2E75B6"/>
          <w:sz w:val="26"/>
          <w:szCs w:val="26"/>
        </w:rPr>
        <w:t xml:space="preserve">Medium-term (generator enhancements for future re-test)</w:t>
      </w:r>
    </w:p>
    <w:p>
      <w:pPr>
        <w:pStyle w:val="ListParagraph"/>
        <w:numPr>
          <w:ilvl w:val="0"/>
          <w:numId w:val="2"/>
        </w:numPr>
        <w:spacing w:after="40" w:before="40"/>
      </w:pPr>
      <w:r>
        <w:rPr>
          <w:rFonts w:ascii="Arial" w:cs="Arial" w:eastAsia="Arial" w:hAnsi="Arial"/>
          <w:sz w:val="20"/>
          <w:szCs w:val="20"/>
        </w:rPr>
        <w:t xml:space="preserve">Add combinationProduct: boolean field to CaseData / fixture schema and wire to XML emit</w:t>
      </w:r>
    </w:p>
    <w:p>
      <w:pPr>
        <w:pStyle w:val="ListParagraph"/>
        <w:numPr>
          <w:ilvl w:val="0"/>
          <w:numId w:val="2"/>
        </w:numPr>
        <w:spacing w:after="40" w:before="40"/>
      </w:pPr>
      <w:r>
        <w:rPr>
          <w:rFonts w:ascii="Arial" w:cs="Arial" w:eastAsia="Arial" w:hAnsi="Arial"/>
          <w:sz w:val="20"/>
          <w:szCs w:val="20"/>
        </w:rPr>
        <w:t xml:space="preserve">Add includeReporterLocation: boolean flag to reporter fixture schema</w:t>
      </w:r>
    </w:p>
    <w:p>
      <w:pPr>
        <w:pStyle w:val="ListParagraph"/>
        <w:numPr>
          <w:ilvl w:val="0"/>
          <w:numId w:val="2"/>
        </w:numPr>
        <w:spacing w:after="40" w:before="40"/>
      </w:pPr>
      <w:r>
        <w:rPr>
          <w:rFonts w:ascii="Arial" w:cs="Arial" w:eastAsia="Arial" w:hAnsi="Arial"/>
          <w:sz w:val="20"/>
          <w:szCs w:val="20"/>
        </w:rPr>
        <w:t xml:space="preserve">Allow patient.ethnicity null / undefined to emit nullFlavor=NI instead of defaulting to C41222</w:t>
      </w:r>
    </w:p>
    <w:p>
      <w:pPr>
        <w:pStyle w:val="ListParagraph"/>
        <w:numPr>
          <w:ilvl w:val="0"/>
          <w:numId w:val="2"/>
        </w:numPr>
        <w:spacing w:after="40" w:before="40"/>
      </w:pPr>
      <w:r>
        <w:rPr>
          <w:rFonts w:ascii="Arial" w:cs="Arial" w:eastAsia="Arial" w:hAnsi="Arial"/>
          <w:sz w:val="20"/>
          <w:szCs w:val="20"/>
        </w:rPr>
        <w:t xml:space="preserve">Wire fixture.expeditedReport boolean to the localCriteriaForExpedited BL value attribute</w:t>
      </w:r>
    </w:p>
    <w:p>
      <w:pPr>
        <w:spacing w:after="320" w:before="0"/>
      </w:pPr>
      <w:r>
        <w:t xml:space="preserve"/>
      </w:r>
    </w:p>
    <w:p>
      <w:pPr>
        <w:pStyle w:val="Heading1"/>
        <w:pageBreakBefore/>
        <w:pBdr>
          <w:bottom w:val="single" w:color="2E75B6" w:sz="8" w:space="4"/>
        </w:pBdr>
        <w:spacing w:after="160" w:before="280"/>
      </w:pPr>
      <w:r>
        <w:rPr>
          <w:rFonts w:ascii="Arial" w:cs="Arial" w:eastAsia="Arial" w:hAnsi="Arial"/>
          <w:b/>
          <w:bCs/>
          <w:color w:val="1F4E79"/>
          <w:sz w:val="32"/>
          <w:szCs w:val="32"/>
        </w:rPr>
        <w:t xml:space="preserve">8.  IND / Premarket Campaign — Status</w:t>
      </w:r>
    </w:p>
    <w:p>
      <w:pPr>
        <w:spacing w:after="80" w:before="80"/>
        <w:jc w:val="left"/>
      </w:pPr>
      <w:r>
        <w:rPr>
          <w:rFonts w:ascii="Arial" w:cs="Arial" w:eastAsia="Arial" w:hAnsi="Arial"/>
          <w:sz w:val="20"/>
          <w:szCs w:val="20"/>
        </w:rPr>
        <w:t xml:space="preserve">In parallel with the 30 postmarket cases, 7 IND/SUSAR test cases were submitted to the AERS_PREMKT_CDER portal (gateway ZZFDATST_PREMKT). All 7 are accepted.</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1560"/>
        <w:gridCol w:w="19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Case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ACK</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UUID (suffix)</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spacing w:after="0" w:before="0"/>
              <w:jc w:val="center"/>
            </w:pPr>
            <w:r>
              <w:rPr>
                <w:rFonts w:ascii="Arial" w:cs="Arial" w:eastAsia="Arial" w:hAnsi="Arial"/>
                <w:b/>
                <w:bCs/>
                <w:color w:val="FFFFFF"/>
                <w:sz w:val="18"/>
                <w:szCs w:val="18"/>
              </w:rPr>
              <w:t xml:space="preserve">Notes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IND-T01</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IND — baseline case (single suspect drug)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CA+AE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...5d8043c3f</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C.5.6.r info warning (expected)</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IND-T02</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IND — two reactions</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CA+AE</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...6d5f12b7a</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C.5.6.r on each reaction element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IND-T03</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IND — concomitant drug</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CA+AE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...d4c58a35100b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Dual C.5.6.r warnings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IND-T04</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IND — duplicate (ISSUE-003)</w:t>
            </w:r>
          </w:p>
        </w:tc>
        <w:tc>
          <w:tcPr>
            <w:tcW w:type="dxa" w:w="1400"/>
            <w:tcBorders>
              <w:top w:val="single" w:color="CCCCCC" w:sz="1"/>
              <w:left w:val="single" w:color="CCCCCC" w:sz="1"/>
              <w:bottom w:val="single" w:color="CCCCCC" w:sz="1"/>
              <w:right w:val="single" w:color="CCCCCC" w:sz="1"/>
            </w:tcBorders>
            <w:shd w:fill="F4CCCC"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CR+AR</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Superseded; never resubmit same UUID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IND-T05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IND — race variant #2 (regen #3)</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CA+AE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...e0705be0f194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ci260430004212</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IND-T06</w:t>
            </w:r>
          </w:p>
        </w:tc>
        <w:tc>
          <w:tcPr>
            <w:tcW w:type="dxa" w:w="36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IND — ethnicity variant (regen #3)</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CA+AE</w:t>
            </w:r>
          </w:p>
        </w:tc>
        <w:tc>
          <w:tcPr>
            <w:tcW w:type="dxa" w:w="15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...9832bb8e68f2</w:t>
            </w:r>
          </w:p>
        </w:tc>
        <w:tc>
          <w:tcPr>
            <w:tcW w:type="dxa" w:w="1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ci260430004305</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bCs/>
                <w:color w:val="000000"/>
                <w:sz w:val="17"/>
                <w:szCs w:val="17"/>
              </w:rPr>
              <w:t xml:space="preserve">IND-T07</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color w:val="000000"/>
                <w:sz w:val="17"/>
                <w:szCs w:val="17"/>
              </w:rPr>
              <w:t xml:space="preserve">IND — reporter qual variant (regen #3)</w:t>
            </w:r>
          </w:p>
        </w:tc>
        <w:tc>
          <w:tcPr>
            <w:tcW w:type="dxa" w:w="1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pPr>
              <w:spacing w:after="0" w:before="0"/>
              <w:jc w:val="center"/>
            </w:pPr>
            <w:r>
              <w:rPr>
                <w:rFonts w:ascii="Arial" w:cs="Arial" w:eastAsia="Arial" w:hAnsi="Arial"/>
                <w:b/>
                <w:bCs/>
                <w:color w:val="000000"/>
                <w:sz w:val="17"/>
                <w:szCs w:val="17"/>
              </w:rPr>
              <w:t xml:space="preserve">CA+AE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...efb3fcbdd36b</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before="0"/>
              <w:jc w:val="left"/>
            </w:pPr>
            <w:r>
              <w:rPr>
                <w:rFonts w:ascii="Arial" w:cs="Arial" w:eastAsia="Arial" w:hAnsi="Arial"/>
                <w:b w:val="false"/>
                <w:bCs w:val="false"/>
                <w:i/>
                <w:iCs/>
                <w:color w:val="000000"/>
                <w:sz w:val="15"/>
                <w:szCs w:val="15"/>
              </w:rPr>
              <w:t xml:space="preserve">ci260430004355</w:t>
            </w:r>
          </w:p>
        </w:tc>
      </w:tr>
    </w:tbl>
    <w:p>
      <w:pPr>
        <w:spacing w:after="160" w:before="0"/>
      </w:pPr>
      <w:r>
        <w:t xml:space="preserve"/>
      </w:r>
    </w:p>
    <w:p>
      <w:pPr>
        <w:spacing w:after="80" w:before="80"/>
        <w:jc w:val="left"/>
      </w:pPr>
      <w:r>
        <w:rPr>
          <w:rFonts w:ascii="Arial" w:cs="Arial" w:eastAsia="Arial" w:hAnsi="Arial"/>
          <w:b/>
          <w:bCs/>
          <w:sz w:val="20"/>
          <w:szCs w:val="20"/>
        </w:rPr>
        <w:t xml:space="preserve">Note: </w:t>
      </w:r>
      <w:r>
        <w:rPr>
          <w:rFonts w:ascii="Arial" w:cs="Arial" w:eastAsia="Arial" w:hAnsi="Arial"/>
          <w:sz w:val="20"/>
          <w:szCs w:val="20"/>
        </w:rPr>
        <w:t xml:space="preserve">C.5.6.r warnings on IND submissions are informational boilerplate (one per cross-reference element). They do not constitute a rejection. ISSUE-004 (ESG portal admin enrollment) remains open — email </w:t>
      </w:r>
      <w:r>
        <w:rPr>
          <w:rFonts w:ascii="Arial" w:cs="Arial" w:eastAsia="Arial" w:hAnsi="Arial"/>
          <w:b/>
          <w:bCs/>
          <w:color w:val="2E75B6"/>
          <w:sz w:val="20"/>
          <w:szCs w:val="20"/>
        </w:rPr>
        <w:t xml:space="preserve">AEMSESUB@fda.hhs.gov</w:t>
      </w:r>
      <w:r>
        <w:rPr>
          <w:rFonts w:ascii="Arial" w:cs="Arial" w:eastAsia="Arial" w:hAnsi="Arial"/>
          <w:sz w:val="20"/>
          <w:szCs w:val="20"/>
        </w:rPr>
        <w:t xml:space="preserve"> to complete IND portal admin enrollment.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360"/>
      </w:tabs>
      <w:spacing w:before="0"/>
    </w:pPr>
    <w:r>
      <w:rPr>
        <w:rFonts w:ascii="Arial" w:cs="Arial" w:eastAsia="Arial" w:hAnsi="Arial"/>
        <w:color w:val="888888"/>
        <w:sz w:val="16"/>
        <w:szCs w:val="16"/>
      </w:rPr>
      <w:t xml:space="preserve">Generated: 2026-04-29  |  DeepQuence Drug Safety</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tabs>
        <w:tab w:val="right" w:pos="9360"/>
      </w:tabs>
      <w:spacing w:after="0"/>
    </w:pPr>
    <w:r>
      <w:rPr>
        <w:rFonts w:ascii="Arial" w:cs="Arial" w:eastAsia="Arial" w:hAnsi="Arial"/>
        <w:color w:val="2E75B6"/>
        <w:sz w:val="16"/>
        <w:szCs w:val="16"/>
      </w:rPr>
      <w:t xml:space="preserve">DeepQuence — FDA FAERS Test Submission</w:t>
    </w:r>
    <w:r>
      <w:rPr>
        <w:rFonts w:ascii="Arial" w:cs="Arial" w:eastAsia="Arial" w:hAnsi="Arial"/>
        <w:color w:val="888888"/>
        <w:sz w:val="16"/>
        <w:szCs w:val="16"/>
      </w:rPr>
      <w:t xml:space="preserve">	Gap Analysis for Claude Code  |  </w:t>
    </w:r>
    <w:r>
      <w:rPr>
        <w:rFonts w:ascii="Arial" w:cs="Arial" w:eastAsia="Arial" w:hAnsi="Arial"/>
        <w:b/>
        <w:bCs/>
        <w:color w:val="C00000"/>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2026-04-30T03:22:14.404Z</dcterms:created>
  <dcterms:modified xsi:type="dcterms:W3CDTF">2026-04-30T03:22:14.406Z</dcterms:modified>
</cp:coreProperties>
</file>

<file path=docProps/custom.xml><?xml version="1.0" encoding="utf-8"?>
<Properties xmlns="http://schemas.openxmlformats.org/officeDocument/2006/custom-properties" xmlns:vt="http://schemas.openxmlformats.org/officeDocument/2006/docPropsVTypes"/>
</file>