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before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TABLE I</w:t>
      </w:r>
    </w:p>
    <w:p>
      <w:pPr>
        <w:keepNext/>
        <w:spacing w:after="60" w:line="240"/>
        <w:jc w:val="center"/>
      </w:pPr>
      <w:r>
        <w:rPr>
          <w:rFonts w:ascii="Times New Roman" w:cs="Times New Roman" w:eastAsia="Times New Roman" w:hAnsi="Times New Roman"/>
          <w:smallCaps w:val="false"/>
          <w:sz w:val="16"/>
          <w:szCs w:val="16"/>
        </w:rPr>
        <w:t xml:space="preserve">Accuracy, calibration and knowledge consistency (mean ± SD over 25 folds of 5×5 CV with nested tuning; the 2010–12 column trains on 2005–2009 cohorts only). P@10% = precision in the top 10%; DVR = directional violation rate. † p &lt; 0.05, ‡ p &lt; 0.01 for the AUC difference from KG-XAI.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450"/>
        <w:gridCol w:w="760"/>
        <w:gridCol w:w="1450"/>
        <w:gridCol w:w="860"/>
        <w:gridCol w:w="760"/>
        <w:gridCol w:w="760"/>
        <w:gridCol w:w="1150"/>
        <w:gridCol w:w="1200"/>
      </w:tblGrid>
      <w:tr>
        <w:trPr>
          <w:tblHeader/>
        </w:trPr>
        <w:tc>
          <w:tcPr>
            <w:tcW w:type="dxa" w:w="20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S1 AUC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S1 DVR (%)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AUC (CV)</w:t>
            </w:r>
          </w:p>
        </w:tc>
        <w:tc>
          <w:tcPr>
            <w:tcW w:type="dxa" w:w="8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P@10%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Brier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DVR (%)</w:t>
            </w:r>
          </w:p>
        </w:tc>
        <w:tc>
          <w:tcPr>
            <w:tcW w:type="dxa" w:w="115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AUC 2010–12</w:t>
            </w:r>
          </w:p>
        </w:tc>
        <w:tc>
          <w:tcPr>
            <w:tcW w:type="dxa" w:w="12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S2 SHAP stability (ρ)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Logistic regression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0.795 ± 0.041‡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9.5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0.807 ± 0.009‡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0.872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20.6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0.827‡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Random forest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0.824 ± 0.039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36.3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0.811 ± 0.009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0.863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26.9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Hist. gradient boosting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0.816 ± 0.037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37.8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0.809 ± 0.009†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0.879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22.1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0.826‡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LightGBM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0.834 ± 0.037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33.9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0.815 ± 0.009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0.883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0.175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15.6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0.944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Boosted GAM (EBM-style)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0.831 ± 0.040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29.5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0.806 ± 0.009‡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0.864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0.180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17.4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0.825‡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0.942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Knowledge base only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0.778 ± 0.042‡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6.8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0.765 ± 0.009‡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0.196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0.796‡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KG-XAI w/o refinement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0.826 ± 0.038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0.814 ± 0.008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0.943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KG-XAI w/o constraints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0.834 ± 0.037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34.2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0.815 ± 0.008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16.1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0.935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KG-XAI w/o rule features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0.827 ± 0.040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7.0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0.815 ± 0.008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0.882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0.175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0.840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0.945</w:t>
            </w:r>
          </w:p>
        </w:tc>
      </w:tr>
      <w:tr>
        <w:trPr>
          <w:cantSplit/>
        </w:trPr>
        <w:tc>
          <w:tcPr>
            <w:tcW w:type="dxa" w:w="20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KG-XAI (proposed)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0.827 ± 0.037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6.8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0.814 ± 0.008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0.881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0.176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0.837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0.943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900" w:bottom="14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400" w:hanging="4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cs="Times New Roman" w:eastAsia="Times New Roman" w:hAnsi="Times New Roman"/>
      <w:sz w:val="20"/>
      <w:szCs w:val="2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2026-10-23T20:14:34.899Z</dcterms:created>
  <dcterms:modified xsi:type="dcterms:W3CDTF">2026-10-23T20:14:34.899Z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