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FF4655"/>
          <w:sz w:val="40"/>
          <w:szCs w:val="40"/>
        </w:rPr>
        <w:t xml:space="preserve">VALORANT Creator Campaign</w:t>
      </w:r>
    </w:p>
    <w:p>
      <w:pPr>
        <w:spacing w:after="60" w:before="0"/>
        <w:jc w:val="center"/>
      </w:pPr>
      <w:r>
        <w:rPr>
          <w:b/>
          <w:bCs/>
          <w:color w:val="0F1923"/>
          <w:sz w:val="28"/>
          <w:szCs w:val="28"/>
        </w:rPr>
        <w:t xml:space="preserve">Executive Summary — Q3 + Q4 2024</w:t>
      </w:r>
    </w:p>
    <w:p>
      <w:pPr>
        <w:spacing w:after="320" w:before="0"/>
        <w:jc w:val="center"/>
      </w:pPr>
      <w:r>
        <w:rPr>
          <w:color w:val="6B7280"/>
          <w:sz w:val="18"/>
          <w:szCs w:val="18"/>
        </w:rPr>
        <w:t xml:space="preserve">Prepared by: Sachin Jain  |  HardScope Assessment — Lead Analyst, Creator Strategy &amp; ROI</w:t>
      </w:r>
    </w:p>
    <w:p>
      <w:pPr>
        <w:pStyle w:val="Heading1"/>
        <w:spacing w:after="120" w:before="300"/>
        <w:rPr>
          <w:b/>
          <w:bCs/>
          <w:color w:val="FF4655"/>
          <w:sz w:val="28"/>
          <w:szCs w:val="28"/>
        </w:rPr>
      </w:pPr>
      <w:r>
        <w:t xml:space="preserve">1. Program Scorecard — Q4 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F4655" w:color="auto" w:val="clear"/>
          </w:tcPr>
          <w:p>
            <w:r>
              <w:rPr>
                <w:b/>
                <w:bCs/>
                <w:color w:val="FFFFFF"/>
                <w:sz w:val="18"/>
                <w:szCs w:val="18"/>
              </w:rPr>
              <w:t xml:space="preserve">Metric</w:t>
            </w:r>
          </w:p>
        </w:tc>
        <w:tc>
          <w:tcPr>
            <w:tcW w:type="pct" w:w="25%"/>
            <w:shd w:fill="FF4655" w:color="auto" w:val="clear"/>
          </w:tcPr>
          <w:p>
            <w:r>
              <w:rPr>
                <w:b/>
                <w:bCs/>
                <w:color w:val="FFFFFF"/>
                <w:sz w:val="18"/>
                <w:szCs w:val="18"/>
              </w:rPr>
              <w:t xml:space="preserve">Q4 Value</w:t>
            </w:r>
          </w:p>
        </w:tc>
        <w:tc>
          <w:tcPr>
            <w:tcW w:type="pct" w:w="25%"/>
            <w:shd w:fill="FF4655" w:color="auto" w:val="clear"/>
          </w:tcPr>
          <w:p>
            <w:r>
              <w:rPr>
                <w:b/>
                <w:bCs/>
                <w:color w:val="FFFFFF"/>
                <w:sz w:val="18"/>
                <w:szCs w:val="18"/>
              </w:rPr>
              <w:t xml:space="preserve">Benchmark</w:t>
            </w:r>
          </w:p>
        </w:tc>
        <w:tc>
          <w:tcPr>
            <w:tcW w:type="pct" w:w="25%"/>
            <w:shd w:fill="FF4655" w:color="auto" w:val="clear"/>
          </w:tcPr>
          <w:p>
            <w:r>
              <w:rPr>
                <w:b/>
                <w:bCs/>
                <w:color w:val="FFFFFF"/>
                <w:sz w:val="18"/>
                <w:szCs w:val="18"/>
              </w:rPr>
              <w:t xml:space="preserve">Status</w:t>
            </w:r>
          </w:p>
        </w:tc>
      </w:tr>
      <w:tr>
        <w:tc>
          <w:tcPr>
            <w:shd w:fill="F9FAFB" w:color="auto" w:val="clear"/>
          </w:tcPr>
          <w:p>
            <w:r>
              <w:rPr>
                <w:sz w:val="18"/>
                <w:szCs w:val="18"/>
              </w:rPr>
              <w:t xml:space="preserve">Total Views</w:t>
            </w:r>
          </w:p>
        </w:tc>
        <w:tc>
          <w:tcPr>
            <w:shd w:fill="FFFFFF" w:color="auto" w:val="clear"/>
          </w:tcPr>
          <w:p>
            <w:r>
              <w:rPr>
                <w:sz w:val="18"/>
                <w:szCs w:val="18"/>
              </w:rPr>
              <w:t xml:space="preserve">7.3M</w:t>
            </w:r>
          </w:p>
        </w:tc>
        <w:tc>
          <w:tcPr>
            <w:shd w:fill="FFFFFF" w:color="auto" w:val="clear"/>
          </w:tcPr>
          <w:p>
            <w:r>
              <w:rPr>
                <w:sz w:val="18"/>
                <w:szCs w:val="18"/>
              </w:rPr>
              <w:t xml:space="preserve">—</w:t>
            </w:r>
          </w:p>
        </w:tc>
        <w:tc>
          <w:tcPr>
            <w:shd w:fill="FFFFFF" w:color="auto" w:val="clear"/>
          </w:tcPr>
          <w:p>
            <w:r>
              <w:rPr>
                <w:sz w:val="18"/>
                <w:szCs w:val="18"/>
              </w:rPr>
              <w:t xml:space="preserve">✓</w:t>
            </w:r>
          </w:p>
        </w:tc>
      </w:tr>
      <w:tr>
        <w:tc>
          <w:tcPr>
            <w:shd w:fill="F9FAFB" w:color="auto" w:val="clear"/>
          </w:tcPr>
          <w:p>
            <w:r>
              <w:rPr>
                <w:sz w:val="18"/>
                <w:szCs w:val="18"/>
              </w:rPr>
              <w:t xml:space="preserve">Total Engagements</w:t>
            </w:r>
          </w:p>
        </w:tc>
        <w:tc>
          <w:tcPr>
            <w:shd w:fill="FFFFFF" w:color="auto" w:val="clear"/>
          </w:tcPr>
          <w:p>
            <w:r>
              <w:rPr>
                <w:sz w:val="18"/>
                <w:szCs w:val="18"/>
              </w:rPr>
              <w:t xml:space="preserve">234K</w:t>
            </w:r>
          </w:p>
        </w:tc>
        <w:tc>
          <w:tcPr>
            <w:shd w:fill="FFFFFF" w:color="auto" w:val="clear"/>
          </w:tcPr>
          <w:p>
            <w:r>
              <w:rPr>
                <w:sz w:val="18"/>
                <w:szCs w:val="18"/>
              </w:rPr>
              <w:t xml:space="preserve">—</w:t>
            </w:r>
          </w:p>
        </w:tc>
        <w:tc>
          <w:tcPr>
            <w:shd w:fill="FFFFFF" w:color="auto" w:val="clear"/>
          </w:tcPr>
          <w:p>
            <w:r>
              <w:rPr>
                <w:sz w:val="18"/>
                <w:szCs w:val="18"/>
              </w:rPr>
              <w:t xml:space="preserve">✓</w:t>
            </w:r>
          </w:p>
        </w:tc>
      </w:tr>
      <w:tr>
        <w:tc>
          <w:tcPr>
            <w:shd w:fill="F9FAFB" w:color="auto" w:val="clear"/>
          </w:tcPr>
          <w:p>
            <w:r>
              <w:rPr>
                <w:sz w:val="18"/>
                <w:szCs w:val="18"/>
              </w:rPr>
              <w:t xml:space="preserve">Blended ER</w:t>
            </w:r>
          </w:p>
        </w:tc>
        <w:tc>
          <w:tcPr>
            <w:shd w:fill="FFFFFF" w:color="auto" w:val="clear"/>
          </w:tcPr>
          <w:p>
            <w:r>
              <w:rPr>
                <w:sz w:val="18"/>
                <w:szCs w:val="18"/>
              </w:rPr>
              <w:t xml:space="preserve">3.19%</w:t>
            </w:r>
          </w:p>
        </w:tc>
        <w:tc>
          <w:tcPr>
            <w:shd w:fill="FFFFFF" w:color="auto" w:val="clear"/>
          </w:tcPr>
          <w:p>
            <w:r>
              <w:rPr>
                <w:sz w:val="18"/>
                <w:szCs w:val="18"/>
              </w:rPr>
              <w:t xml:space="preserve">3.87%</w:t>
            </w:r>
          </w:p>
        </w:tc>
        <w:tc>
          <w:tcPr>
            <w:shd w:fill="FFFFFF" w:color="auto" w:val="clear"/>
          </w:tcPr>
          <w:p>
            <w:r>
              <w:rPr>
                <w:sz w:val="18"/>
                <w:szCs w:val="18"/>
              </w:rPr>
              <w:t xml:space="preserve">⚠ Below</w:t>
            </w:r>
          </w:p>
        </w:tc>
      </w:tr>
      <w:tr>
        <w:tc>
          <w:tcPr>
            <w:shd w:fill="F9FAFB" w:color="auto" w:val="clear"/>
          </w:tcPr>
          <w:p>
            <w:r>
              <w:rPr>
                <w:sz w:val="18"/>
                <w:szCs w:val="18"/>
              </w:rPr>
              <w:t xml:space="preserve">Modelled CPE</w:t>
            </w:r>
          </w:p>
        </w:tc>
        <w:tc>
          <w:tcPr>
            <w:shd w:fill="FFFFFF" w:color="auto" w:val="clear"/>
          </w:tcPr>
          <w:p>
            <w:r>
              <w:rPr>
                <w:sz w:val="18"/>
                <w:szCs w:val="18"/>
              </w:rPr>
              <w:t xml:space="preserve">$0.81</w:t>
            </w:r>
          </w:p>
        </w:tc>
        <w:tc>
          <w:tcPr>
            <w:shd w:fill="FFFFFF" w:color="auto" w:val="clear"/>
          </w:tcPr>
          <w:p>
            <w:r>
              <w:rPr>
                <w:sz w:val="18"/>
                <w:szCs w:val="18"/>
              </w:rPr>
              <w:t xml:space="preserve">$0.25</w:t>
            </w:r>
          </w:p>
        </w:tc>
        <w:tc>
          <w:tcPr>
            <w:shd w:fill="FFFFFF" w:color="auto" w:val="clear"/>
          </w:tcPr>
          <w:p>
            <w:r>
              <w:rPr>
                <w:sz w:val="18"/>
                <w:szCs w:val="18"/>
              </w:rPr>
              <w:t xml:space="preserve">✗ Overrun</w:t>
            </w:r>
          </w:p>
        </w:tc>
      </w:tr>
      <w:tr>
        <w:tc>
          <w:tcPr>
            <w:shd w:fill="F9FAFB" w:color="auto" w:val="clear"/>
          </w:tcPr>
          <w:p>
            <w:r>
              <w:rPr>
                <w:sz w:val="18"/>
                <w:szCs w:val="18"/>
              </w:rPr>
              <w:t xml:space="preserve">Estimated Spend</w:t>
            </w:r>
          </w:p>
        </w:tc>
        <w:tc>
          <w:tcPr>
            <w:shd w:fill="FFFFFF" w:color="auto" w:val="clear"/>
          </w:tcPr>
          <w:p>
            <w:r>
              <w:rPr>
                <w:sz w:val="18"/>
                <w:szCs w:val="18"/>
              </w:rPr>
              <w:t xml:space="preserve">~$190K</w:t>
            </w:r>
          </w:p>
        </w:tc>
        <w:tc>
          <w:tcPr>
            <w:shd w:fill="FFFFFF" w:color="auto" w:val="clear"/>
          </w:tcPr>
          <w:p>
            <w:r>
              <w:rPr>
                <w:sz w:val="18"/>
                <w:szCs w:val="18"/>
              </w:rPr>
              <w:t xml:space="preserve">—</w:t>
            </w:r>
          </w:p>
        </w:tc>
        <w:tc>
          <w:tcPr>
            <w:shd w:fill="FFFFFF" w:color="auto" w:val="clear"/>
          </w:tcPr>
          <w:p>
            <w:r>
              <w:rPr>
                <w:sz w:val="18"/>
                <w:szCs w:val="18"/>
              </w:rPr>
              <w:t xml:space="preserve">—</w:t>
            </w:r>
          </w:p>
        </w:tc>
      </w:tr>
      <w:tr>
        <w:tc>
          <w:tcPr>
            <w:shd w:fill="F9FAFB" w:color="auto" w:val="clear"/>
          </w:tcPr>
          <w:p>
            <w:r>
              <w:rPr>
                <w:sz w:val="18"/>
                <w:szCs w:val="18"/>
              </w:rPr>
              <w:t xml:space="preserve">Peak Creator ER</w:t>
            </w:r>
          </w:p>
        </w:tc>
        <w:tc>
          <w:tcPr>
            <w:shd w:fill="FFFFFF" w:color="auto" w:val="clear"/>
          </w:tcPr>
          <w:p>
            <w:r>
              <w:rPr>
                <w:sz w:val="18"/>
                <w:szCs w:val="18"/>
              </w:rPr>
              <w:t xml:space="preserve">4.45% (tarik)</w:t>
            </w:r>
          </w:p>
        </w:tc>
        <w:tc>
          <w:tcPr>
            <w:shd w:fill="FFFFFF" w:color="auto" w:val="clear"/>
          </w:tcPr>
          <w:p>
            <w:r>
              <w:rPr>
                <w:sz w:val="18"/>
                <w:szCs w:val="18"/>
              </w:rPr>
              <w:t xml:space="preserve">3.87%</w:t>
            </w:r>
          </w:p>
        </w:tc>
        <w:tc>
          <w:tcPr>
            <w:shd w:fill="FFFFFF" w:color="auto" w:val="clear"/>
          </w:tcPr>
          <w:p>
            <w:r>
              <w:rPr>
                <w:sz w:val="18"/>
                <w:szCs w:val="18"/>
              </w:rPr>
              <w:t xml:space="preserve">✓ Above</w:t>
            </w:r>
          </w:p>
        </w:tc>
      </w:tr>
    </w:tbl>
    <w:p>
      <w:pPr>
        <w:spacing w:after="0" w:before="160"/>
      </w:pPr>
    </w:p>
    <w:p>
      <w:pPr>
        <w:pStyle w:val="Heading1"/>
        <w:spacing w:after="120" w:before="300"/>
        <w:rPr>
          <w:b/>
          <w:bCs/>
          <w:color w:val="FF4655"/>
          <w:sz w:val="28"/>
          <w:szCs w:val="28"/>
        </w:rPr>
      </w:pPr>
      <w:r>
        <w:t xml:space="preserve">2. Q4 Creator Leaderboard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shd w:fill="FF4655" w:color="auto" w:val="clear"/>
          </w:tcPr>
          <w:p>
            <w:r>
              <w:rPr>
                <w:b/>
                <w:bCs/>
                <w:color w:val="FFFFFF"/>
                <w:sz w:val="18"/>
                <w:szCs w:val="18"/>
              </w:rPr>
              <w:t xml:space="preserve">Rank</w:t>
            </w:r>
          </w:p>
        </w:tc>
        <w:tc>
          <w:tcPr>
            <w:tcW w:type="pct" w:w="16%"/>
            <w:shd w:fill="FF4655" w:color="auto" w:val="clear"/>
          </w:tcPr>
          <w:p>
            <w:r>
              <w:rPr>
                <w:b/>
                <w:bCs/>
                <w:color w:val="FFFFFF"/>
                <w:sz w:val="18"/>
                <w:szCs w:val="18"/>
              </w:rPr>
              <w:t xml:space="preserve">Creator</w:t>
            </w:r>
          </w:p>
        </w:tc>
        <w:tc>
          <w:tcPr>
            <w:tcW w:type="pct" w:w="16%"/>
            <w:shd w:fill="FF4655" w:color="auto" w:val="clear"/>
          </w:tcPr>
          <w:p>
            <w:r>
              <w:rPr>
                <w:b/>
                <w:bCs/>
                <w:color w:val="FFFFFF"/>
                <w:sz w:val="18"/>
                <w:szCs w:val="18"/>
              </w:rPr>
              <w:t xml:space="preserve">Q4 ER</w:t>
            </w:r>
          </w:p>
        </w:tc>
        <w:tc>
          <w:tcPr>
            <w:tcW w:type="pct" w:w="16%"/>
            <w:shd w:fill="FF4655" w:color="auto" w:val="clear"/>
          </w:tcPr>
          <w:p>
            <w:r>
              <w:rPr>
                <w:b/>
                <w:bCs/>
                <w:color w:val="FFFFFF"/>
                <w:sz w:val="18"/>
                <w:szCs w:val="18"/>
              </w:rPr>
              <w:t xml:space="preserve">CPE Tier</w:t>
            </w:r>
          </w:p>
        </w:tc>
        <w:tc>
          <w:tcPr>
            <w:tcW w:type="pct" w:w="16%"/>
            <w:shd w:fill="FF4655" w:color="auto" w:val="clear"/>
          </w:tcPr>
          <w:p>
            <w:r>
              <w:rPr>
                <w:b/>
                <w:bCs/>
                <w:color w:val="FFFFFF"/>
                <w:sz w:val="18"/>
                <w:szCs w:val="18"/>
              </w:rPr>
              <w:t xml:space="preserve">ΔER vs Q3</w:t>
            </w:r>
          </w:p>
        </w:tc>
        <w:tc>
          <w:tcPr>
            <w:tcW w:type="pct" w:w="16%"/>
            <w:shd w:fill="FF4655" w:color="auto" w:val="clear"/>
          </w:tcPr>
          <w:p>
            <w:r>
              <w:rPr>
                <w:b/>
                <w:bCs/>
                <w:color w:val="FFFFFF"/>
                <w:sz w:val="18"/>
                <w:szCs w:val="18"/>
              </w:rPr>
              <w:t xml:space="preserve">Signal</w:t>
            </w:r>
          </w:p>
        </w:tc>
      </w:tr>
      <w:tr>
        <w:tc>
          <w:tcPr>
            <w:shd w:fill="F9FAFB" w:color="auto" w:val="clear"/>
          </w:tcPr>
          <w:p>
            <w:r>
              <w:rPr>
                <w:sz w:val="18"/>
                <w:szCs w:val="18"/>
              </w:rPr>
              <w:t xml:space="preserve">1</w:t>
            </w:r>
          </w:p>
        </w:tc>
        <w:tc>
          <w:tcPr>
            <w:shd w:fill="FFFFFF" w:color="auto" w:val="clear"/>
          </w:tcPr>
          <w:p>
            <w:r>
              <w:rPr>
                <w:sz w:val="18"/>
                <w:szCs w:val="18"/>
              </w:rPr>
              <w:t xml:space="preserve">tarik</w:t>
            </w:r>
          </w:p>
        </w:tc>
        <w:tc>
          <w:tcPr>
            <w:shd w:fill="FFFFFF" w:color="auto" w:val="clear"/>
          </w:tcPr>
          <w:p>
            <w:r>
              <w:rPr>
                <w:sz w:val="18"/>
                <w:szCs w:val="18"/>
              </w:rPr>
              <w:t xml:space="preserve">4.45%</w:t>
            </w:r>
          </w:p>
        </w:tc>
        <w:tc>
          <w:tcPr>
            <w:shd w:fill="FFFFFF" w:color="auto" w:val="clear"/>
          </w:tcPr>
          <w:p>
            <w:r>
              <w:rPr>
                <w:sz w:val="18"/>
                <w:szCs w:val="18"/>
              </w:rPr>
              <w:t xml:space="preserve">Acceptable</w:t>
            </w:r>
          </w:p>
        </w:tc>
        <w:tc>
          <w:tcPr>
            <w:shd w:fill="FFFFFF" w:color="auto" w:val="clear"/>
          </w:tcPr>
          <w:p>
            <w:r>
              <w:rPr>
                <w:sz w:val="18"/>
                <w:szCs w:val="18"/>
              </w:rPr>
              <w:t xml:space="preserve">+1.14pp</w:t>
            </w:r>
          </w:p>
        </w:tc>
        <w:tc>
          <w:tcPr>
            <w:shd w:fill="FFFFFF" w:color="auto" w:val="clear"/>
          </w:tcPr>
          <w:p>
            <w:r>
              <w:rPr>
                <w:sz w:val="18"/>
                <w:szCs w:val="18"/>
              </w:rPr>
              <w:t xml:space="preserve">✅ Scale</w:t>
            </w:r>
          </w:p>
        </w:tc>
      </w:tr>
      <w:tr>
        <w:tc>
          <w:tcPr>
            <w:shd w:fill="F9FAFB" w:color="auto" w:val="clear"/>
          </w:tcPr>
          <w:p>
            <w:r>
              <w:rPr>
                <w:sz w:val="18"/>
                <w:szCs w:val="18"/>
              </w:rPr>
              <w:t xml:space="preserve">2</w:t>
            </w:r>
          </w:p>
        </w:tc>
        <w:tc>
          <w:tcPr>
            <w:shd w:fill="FFFFFF" w:color="auto" w:val="clear"/>
          </w:tcPr>
          <w:p>
            <w:r>
              <w:rPr>
                <w:sz w:val="18"/>
                <w:szCs w:val="18"/>
              </w:rPr>
              <w:t xml:space="preserve">TenZ</w:t>
            </w:r>
          </w:p>
        </w:tc>
        <w:tc>
          <w:tcPr>
            <w:shd w:fill="FFFFFF" w:color="auto" w:val="clear"/>
          </w:tcPr>
          <w:p>
            <w:r>
              <w:rPr>
                <w:sz w:val="18"/>
                <w:szCs w:val="18"/>
              </w:rPr>
              <w:t xml:space="preserve">3.71%</w:t>
            </w:r>
          </w:p>
        </w:tc>
        <w:tc>
          <w:tcPr>
            <w:shd w:fill="FFFFFF" w:color="auto" w:val="clear"/>
          </w:tcPr>
          <w:p>
            <w:r>
              <w:rPr>
                <w:sz w:val="18"/>
                <w:szCs w:val="18"/>
              </w:rPr>
              <w:t xml:space="preserve">Acceptable</w:t>
            </w:r>
          </w:p>
        </w:tc>
        <w:tc>
          <w:tcPr>
            <w:shd w:fill="FFFFFF" w:color="auto" w:val="clear"/>
          </w:tcPr>
          <w:p>
            <w:r>
              <w:rPr>
                <w:sz w:val="18"/>
                <w:szCs w:val="18"/>
              </w:rPr>
              <w:t xml:space="preserve">-0.65pp</w:t>
            </w:r>
          </w:p>
        </w:tc>
        <w:tc>
          <w:tcPr>
            <w:shd w:fill="FFFFFF" w:color="auto" w:val="clear"/>
          </w:tcPr>
          <w:p>
            <w:r>
              <w:rPr>
                <w:sz w:val="18"/>
                <w:szCs w:val="18"/>
              </w:rPr>
              <w:t xml:space="preserve">✓ Renew</w:t>
            </w:r>
          </w:p>
        </w:tc>
      </w:tr>
      <w:tr>
        <w:tc>
          <w:tcPr>
            <w:shd w:fill="F9FAFB" w:color="auto" w:val="clear"/>
          </w:tcPr>
          <w:p>
            <w:r>
              <w:rPr>
                <w:sz w:val="18"/>
                <w:szCs w:val="18"/>
              </w:rPr>
              <w:t xml:space="preserve">3</w:t>
            </w:r>
          </w:p>
        </w:tc>
        <w:tc>
          <w:tcPr>
            <w:shd w:fill="FFFFFF" w:color="auto" w:val="clear"/>
          </w:tcPr>
          <w:p>
            <w:r>
              <w:rPr>
                <w:sz w:val="18"/>
                <w:szCs w:val="18"/>
              </w:rPr>
              <w:t xml:space="preserve">Kyedae</w:t>
            </w:r>
          </w:p>
        </w:tc>
        <w:tc>
          <w:tcPr>
            <w:shd w:fill="FFFFFF" w:color="auto" w:val="clear"/>
          </w:tcPr>
          <w:p>
            <w:r>
              <w:rPr>
                <w:sz w:val="18"/>
                <w:szCs w:val="18"/>
              </w:rPr>
              <w:t xml:space="preserve">3.28%</w:t>
            </w:r>
          </w:p>
        </w:tc>
        <w:tc>
          <w:tcPr>
            <w:shd w:fill="FFFFFF" w:color="auto" w:val="clear"/>
          </w:tcPr>
          <w:p>
            <w:r>
              <w:rPr>
                <w:sz w:val="18"/>
                <w:szCs w:val="18"/>
              </w:rPr>
              <w:t xml:space="preserve">Review</w:t>
            </w:r>
          </w:p>
        </w:tc>
        <w:tc>
          <w:tcPr>
            <w:shd w:fill="FFFFFF" w:color="auto" w:val="clear"/>
          </w:tcPr>
          <w:p>
            <w:r>
              <w:rPr>
                <w:sz w:val="18"/>
                <w:szCs w:val="18"/>
              </w:rPr>
              <w:t xml:space="preserve">-1.11pp</w:t>
            </w:r>
          </w:p>
        </w:tc>
        <w:tc>
          <w:tcPr>
            <w:shd w:fill="FFFFFF" w:color="auto" w:val="clear"/>
          </w:tcPr>
          <w:p>
            <w:r>
              <w:rPr>
                <w:sz w:val="18"/>
                <w:szCs w:val="18"/>
              </w:rPr>
              <w:t xml:space="preserve">⚠ Monitor</w:t>
            </w:r>
          </w:p>
        </w:tc>
      </w:tr>
      <w:tr>
        <w:tc>
          <w:tcPr>
            <w:shd w:fill="F9FAFB" w:color="auto" w:val="clear"/>
          </w:tcPr>
          <w:p>
            <w:r>
              <w:rPr>
                <w:sz w:val="18"/>
                <w:szCs w:val="18"/>
              </w:rPr>
              <w:t xml:space="preserve">4</w:t>
            </w:r>
          </w:p>
        </w:tc>
        <w:tc>
          <w:tcPr>
            <w:shd w:fill="FFFFFF" w:color="auto" w:val="clear"/>
          </w:tcPr>
          <w:p>
            <w:r>
              <w:rPr>
                <w:sz w:val="18"/>
                <w:szCs w:val="18"/>
              </w:rPr>
              <w:t xml:space="preserve">Sinatraa</w:t>
            </w:r>
          </w:p>
        </w:tc>
        <w:tc>
          <w:tcPr>
            <w:shd w:fill="FFFFFF" w:color="auto" w:val="clear"/>
          </w:tcPr>
          <w:p>
            <w:r>
              <w:rPr>
                <w:sz w:val="18"/>
                <w:szCs w:val="18"/>
              </w:rPr>
              <w:t xml:space="preserve">2.63%</w:t>
            </w:r>
          </w:p>
        </w:tc>
        <w:tc>
          <w:tcPr>
            <w:shd w:fill="FFFFFF" w:color="auto" w:val="clear"/>
          </w:tcPr>
          <w:p>
            <w:r>
              <w:rPr>
                <w:sz w:val="18"/>
                <w:szCs w:val="18"/>
              </w:rPr>
              <w:t xml:space="preserve">Review</w:t>
            </w:r>
          </w:p>
        </w:tc>
        <w:tc>
          <w:tcPr>
            <w:shd w:fill="FFFFFF" w:color="auto" w:val="clear"/>
          </w:tcPr>
          <w:p>
            <w:r>
              <w:rPr>
                <w:sz w:val="18"/>
                <w:szCs w:val="18"/>
              </w:rPr>
              <w:t xml:space="preserve">-1.37pp</w:t>
            </w:r>
          </w:p>
        </w:tc>
        <w:tc>
          <w:tcPr>
            <w:shd w:fill="FFFFFF" w:color="auto" w:val="clear"/>
          </w:tcPr>
          <w:p>
            <w:r>
              <w:rPr>
                <w:sz w:val="18"/>
                <w:szCs w:val="18"/>
              </w:rPr>
              <w:t xml:space="preserve">⚠ Monitor</w:t>
            </w:r>
          </w:p>
        </w:tc>
      </w:tr>
      <w:tr>
        <w:tc>
          <w:tcPr>
            <w:shd w:fill="F9FAFB" w:color="auto" w:val="clear"/>
          </w:tcPr>
          <w:p>
            <w:r>
              <w:rPr>
                <w:sz w:val="18"/>
                <w:szCs w:val="18"/>
              </w:rPr>
              <w:t xml:space="preserve">5</w:t>
            </w:r>
          </w:p>
        </w:tc>
        <w:tc>
          <w:tcPr>
            <w:shd w:fill="FFFFFF" w:color="auto" w:val="clear"/>
          </w:tcPr>
          <w:p>
            <w:r>
              <w:rPr>
                <w:sz w:val="18"/>
                <w:szCs w:val="18"/>
              </w:rPr>
              <w:t xml:space="preserve">Protatomonster</w:t>
            </w:r>
          </w:p>
        </w:tc>
        <w:tc>
          <w:tcPr>
            <w:shd w:fill="FFFFFF" w:color="auto" w:val="clear"/>
          </w:tcPr>
          <w:p>
            <w:r>
              <w:rPr>
                <w:sz w:val="18"/>
                <w:szCs w:val="18"/>
              </w:rPr>
              <w:t xml:space="preserve">2.54%</w:t>
            </w:r>
          </w:p>
        </w:tc>
        <w:tc>
          <w:tcPr>
            <w:shd w:fill="FFFFFF" w:color="auto" w:val="clear"/>
          </w:tcPr>
          <w:p>
            <w:r>
              <w:rPr>
                <w:sz w:val="18"/>
                <w:szCs w:val="18"/>
              </w:rPr>
              <w:t xml:space="preserve">Review</w:t>
            </w:r>
          </w:p>
        </w:tc>
        <w:tc>
          <w:tcPr>
            <w:shd w:fill="FFFFFF" w:color="auto" w:val="clear"/>
          </w:tcPr>
          <w:p>
            <w:r>
              <w:rPr>
                <w:sz w:val="18"/>
                <w:szCs w:val="18"/>
              </w:rPr>
              <w:t xml:space="preserve">-0.33pp</w:t>
            </w:r>
          </w:p>
        </w:tc>
        <w:tc>
          <w:tcPr>
            <w:shd w:fill="FFFFFF" w:color="auto" w:val="clear"/>
          </w:tcPr>
          <w:p>
            <w:r>
              <w:rPr>
                <w:sz w:val="18"/>
                <w:szCs w:val="18"/>
              </w:rPr>
              <w:t xml:space="preserve">↻ Rotate</w:t>
            </w:r>
          </w:p>
        </w:tc>
      </w:tr>
      <w:tr>
        <w:tc>
          <w:tcPr>
            <w:shd w:fill="F9FAFB" w:color="auto" w:val="clear"/>
          </w:tcPr>
          <w:p>
            <w:r>
              <w:rPr>
                <w:sz w:val="18"/>
                <w:szCs w:val="18"/>
              </w:rPr>
              <w:t xml:space="preserve">6</w:t>
            </w:r>
          </w:p>
        </w:tc>
        <w:tc>
          <w:tcPr>
            <w:shd w:fill="FFFFFF" w:color="auto" w:val="clear"/>
          </w:tcPr>
          <w:p>
            <w:r>
              <w:rPr>
                <w:sz w:val="18"/>
                <w:szCs w:val="18"/>
              </w:rPr>
              <w:t xml:space="preserve">aceu</w:t>
            </w:r>
          </w:p>
        </w:tc>
        <w:tc>
          <w:tcPr>
            <w:shd w:fill="FFFFFF" w:color="auto" w:val="clear"/>
          </w:tcPr>
          <w:p>
            <w:r>
              <w:rPr>
                <w:sz w:val="18"/>
                <w:szCs w:val="18"/>
              </w:rPr>
              <w:t xml:space="preserve">1.23%</w:t>
            </w:r>
          </w:p>
        </w:tc>
        <w:tc>
          <w:tcPr>
            <w:shd w:fill="FFFFFF" w:color="auto" w:val="clear"/>
          </w:tcPr>
          <w:p>
            <w:r>
              <w:rPr>
                <w:sz w:val="18"/>
                <w:szCs w:val="18"/>
              </w:rPr>
              <w:t xml:space="preserve">Review</w:t>
            </w:r>
          </w:p>
        </w:tc>
        <w:tc>
          <w:tcPr>
            <w:shd w:fill="FFFFFF" w:color="auto" w:val="clear"/>
          </w:tcPr>
          <w:p>
            <w:r>
              <w:rPr>
                <w:sz w:val="18"/>
                <w:szCs w:val="18"/>
              </w:rPr>
              <w:t xml:space="preserve">-2.10pp</w:t>
            </w:r>
          </w:p>
        </w:tc>
        <w:tc>
          <w:tcPr>
            <w:shd w:fill="FFFFFF" w:color="auto" w:val="clear"/>
          </w:tcPr>
          <w:p>
            <w:r>
              <w:rPr>
                <w:sz w:val="18"/>
                <w:szCs w:val="18"/>
              </w:rPr>
              <w:t xml:space="preserve">✗ Renegotiate</w:t>
            </w:r>
          </w:p>
        </w:tc>
      </w:tr>
    </w:tbl>
    <w:p>
      <w:pPr>
        <w:spacing w:after="0" w:before="160"/>
      </w:pPr>
    </w:p>
    <w:p>
      <w:pPr>
        <w:pStyle w:val="Heading1"/>
        <w:spacing w:after="120" w:before="300"/>
        <w:rPr>
          <w:b/>
          <w:bCs/>
          <w:color w:val="FF4655"/>
          <w:sz w:val="28"/>
          <w:szCs w:val="28"/>
        </w:rPr>
      </w:pPr>
      <w:r>
        <w:t xml:space="preserve">3. Key Insights</w:t>
      </w:r>
    </w:p>
    <w:p>
      <w:pPr>
        <w:pStyle w:val="Heading2"/>
        <w:spacing w:after="80" w:before="240"/>
      </w:pPr>
      <w:r>
        <w:t xml:space="preserve">Category Headwind: Q4 Seasonal Compression</w:t>
      </w:r>
    </w:p>
    <w:p>
      <w:pPr>
        <w:spacing w:after="60" w:before="60"/>
      </w:pPr>
      <w:r>
        <w:rPr>
          <w:color w:val="111827"/>
          <w:sz w:val="20"/>
          <w:szCs w:val="20"/>
        </w:rPr>
        <w:t xml:space="preserve">Google Trends data (valorant, US, Jul–Dec 2024) shows a 44% drop in search interest from Q3 (avg 65.4) to Q4 (avg 36.7). August 2024 peaked at 77.2 during VCT Champions Seoul. This macro headwind partially explains Q4 ER compression across the program — it is a category effect, not a creator performance failure.</w:t>
      </w:r>
    </w:p>
    <w:p>
      <w:pPr>
        <w:pStyle w:val="Heading2"/>
        <w:spacing w:after="80" w:before="240"/>
      </w:pPr>
      <w:r>
        <w:t xml:space="preserve">TenZ Viral Outlier — Q3 Normalization</w:t>
      </w:r>
    </w:p>
    <w:p>
      <w:pPr>
        <w:spacing w:after="60" w:before="60"/>
      </w:pPr>
      <w:r>
        <w:rPr>
          <w:color w:val="111827"/>
          <w:sz w:val="20"/>
          <w:szCs w:val="20"/>
        </w:rPr>
        <w:t xml:space="preserve">TenZ published a 56-second Short (video ID: BiCvVGcuPKE) in August 2024 that generated 7.4M views — 78.7% of his entire Q3 total. Including this video inflates his Q3 ER to 4.51% and would make the Q4 comparison (3.71%) look like a larger decline than it was. The normalized Q3 ER baseline is 3.58%, yielding a more accurate -0.65pp delta. This outlier is flagged in all modeled outputs.</w:t>
      </w:r>
    </w:p>
    <w:p>
      <w:pPr>
        <w:pStyle w:val="Heading2"/>
        <w:spacing w:after="80" w:before="240"/>
      </w:pPr>
      <w:r>
        <w:t xml:space="preserve">tarik — Only Creator with Positive Incrementality</w:t>
      </w:r>
    </w:p>
    <w:p>
      <w:pPr>
        <w:spacing w:after="60" w:before="60"/>
      </w:pPr>
      <w:r>
        <w:rPr>
          <w:color w:val="111827"/>
          <w:sz w:val="20"/>
          <w:szCs w:val="20"/>
        </w:rPr>
        <w:t xml:space="preserve">tarik is the only creator whose ER improved Q3→Q4 (+1.14pp), despite the category headwind. This is a significant signal: his audience remained engaged even as overall VALORANT interest declined, suggesting authentic fit between his content and the game. CPE is acceptable at current rates. Recommended: scale budget by 50% in Q1 2025.</w:t>
      </w:r>
    </w:p>
    <w:p>
      <w:pPr>
        <w:pStyle w:val="Heading2"/>
        <w:spacing w:after="80" w:before="240"/>
      </w:pPr>
      <w:r>
        <w:t xml:space="preserve">aceu — Structural Underperformance</w:t>
      </w:r>
    </w:p>
    <w:p>
      <w:pPr>
        <w:spacing w:after="60" w:before="60"/>
      </w:pPr>
      <w:r>
        <w:rPr>
          <w:color w:val="111827"/>
          <w:sz w:val="20"/>
          <w:szCs w:val="20"/>
        </w:rPr>
        <w:t xml:space="preserve">aceu produced an average ER of 1.23% in Q4 — the only creator below the 50% benchmark floor (1.94%). At an estimated $28K/month, his modelled CPE of $3.46 is 14× above the Efficient ceiling and 31× above the Acceptable ceiling. No single month showed above-benchmark performance. This is a structural fit issue, not a seasonal one.</w:t>
      </w:r>
    </w:p>
    <w:p>
      <w:pPr>
        <w:spacing w:after="0" w:before="160"/>
      </w:pPr>
    </w:p>
    <w:p>
      <w:pPr>
        <w:pStyle w:val="Heading1"/>
        <w:spacing w:after="120" w:before="300"/>
        <w:rPr>
          <w:b/>
          <w:bCs/>
          <w:color w:val="FF4655"/>
          <w:sz w:val="28"/>
          <w:szCs w:val="28"/>
        </w:rPr>
      </w:pPr>
      <w:r>
        <w:t xml:space="preserve">4. Automated Alert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FF4655" w:color="auto" w:val="clear"/>
          </w:tcPr>
          <w:p>
            <w:r>
              <w:rPr>
                <w:b/>
                <w:bCs/>
                <w:color w:val="FFFFFF"/>
                <w:sz w:val="18"/>
                <w:szCs w:val="18"/>
              </w:rPr>
              <w:t xml:space="preserve">Alert Type</w:t>
            </w:r>
          </w:p>
        </w:tc>
        <w:tc>
          <w:tcPr>
            <w:tcW w:type="pct" w:w="33%"/>
            <w:shd w:fill="FF4655" w:color="auto" w:val="clear"/>
          </w:tcPr>
          <w:p>
            <w:r>
              <w:rPr>
                <w:b/>
                <w:bCs/>
                <w:color w:val="FFFFFF"/>
                <w:sz w:val="18"/>
                <w:szCs w:val="18"/>
              </w:rPr>
              <w:t xml:space="preserve">Count</w:t>
            </w:r>
          </w:p>
        </w:tc>
        <w:tc>
          <w:tcPr>
            <w:tcW w:type="pct" w:w="33%"/>
            <w:shd w:fill="FF4655" w:color="auto" w:val="clear"/>
          </w:tcPr>
          <w:p>
            <w:r>
              <w:rPr>
                <w:b/>
                <w:bCs/>
                <w:color w:val="FFFFFF"/>
                <w:sz w:val="18"/>
                <w:szCs w:val="18"/>
              </w:rPr>
              <w:t xml:space="preserve">Primary Offenders</w:t>
            </w:r>
          </w:p>
        </w:tc>
      </w:tr>
      <w:tr>
        <w:tc>
          <w:tcPr>
            <w:shd w:fill="F9FAFB" w:color="auto" w:val="clear"/>
          </w:tcPr>
          <w:p>
            <w:r>
              <w:rPr>
                <w:sz w:val="18"/>
                <w:szCs w:val="18"/>
              </w:rPr>
              <w:t xml:space="preserve">CPE Overrun (&gt;$0.25)</w:t>
            </w:r>
          </w:p>
        </w:tc>
        <w:tc>
          <w:tcPr>
            <w:shd w:fill="FFFFFF" w:color="auto" w:val="clear"/>
          </w:tcPr>
          <w:p>
            <w:r>
              <w:rPr>
                <w:sz w:val="18"/>
                <w:szCs w:val="18"/>
              </w:rPr>
              <w:t xml:space="preserve">12</w:t>
            </w:r>
          </w:p>
        </w:tc>
        <w:tc>
          <w:tcPr>
            <w:shd w:fill="FFFFFF" w:color="auto" w:val="clear"/>
          </w:tcPr>
          <w:p>
            <w:r>
              <w:rPr>
                <w:sz w:val="18"/>
                <w:szCs w:val="18"/>
              </w:rPr>
              <w:t xml:space="preserve">aceu (all), Sinatraa, Kyedae, Protatomonster</w:t>
            </w:r>
          </w:p>
        </w:tc>
      </w:tr>
      <w:tr>
        <w:tc>
          <w:tcPr>
            <w:shd w:fill="F9FAFB" w:color="auto" w:val="clear"/>
          </w:tcPr>
          <w:p>
            <w:r>
              <w:rPr>
                <w:sz w:val="18"/>
                <w:szCs w:val="18"/>
              </w:rPr>
              <w:t xml:space="preserve">Declining ER (&gt;0.5pp MoM drop)</w:t>
            </w:r>
          </w:p>
        </w:tc>
        <w:tc>
          <w:tcPr>
            <w:shd w:fill="FFFFFF" w:color="auto" w:val="clear"/>
          </w:tcPr>
          <w:p>
            <w:r>
              <w:rPr>
                <w:sz w:val="18"/>
                <w:szCs w:val="18"/>
              </w:rPr>
              <w:t xml:space="preserve">4</w:t>
            </w:r>
          </w:p>
        </w:tc>
        <w:tc>
          <w:tcPr>
            <w:shd w:fill="FFFFFF" w:color="auto" w:val="clear"/>
          </w:tcPr>
          <w:p>
            <w:r>
              <w:rPr>
                <w:sz w:val="18"/>
                <w:szCs w:val="18"/>
              </w:rPr>
              <w:t xml:space="preserve">Sinatraa (-1.37pp), Kyedae (-1.11pp), aceu (-2.10pp)</w:t>
            </w:r>
          </w:p>
        </w:tc>
      </w:tr>
      <w:tr>
        <w:tc>
          <w:tcPr>
            <w:shd w:fill="F9FAFB" w:color="auto" w:val="clear"/>
          </w:tcPr>
          <w:p>
            <w:r>
              <w:rPr>
                <w:sz w:val="18"/>
                <w:szCs w:val="18"/>
              </w:rPr>
              <w:t xml:space="preserve">High Volume / Low Quality</w:t>
            </w:r>
          </w:p>
        </w:tc>
        <w:tc>
          <w:tcPr>
            <w:shd w:fill="FFFFFF" w:color="auto" w:val="clear"/>
          </w:tcPr>
          <w:p>
            <w:r>
              <w:rPr>
                <w:sz w:val="18"/>
                <w:szCs w:val="18"/>
              </w:rPr>
              <w:t xml:space="preserve">2</w:t>
            </w:r>
          </w:p>
        </w:tc>
        <w:tc>
          <w:tcPr>
            <w:shd w:fill="FFFFFF" w:color="auto" w:val="clear"/>
          </w:tcPr>
          <w:p>
            <w:r>
              <w:rPr>
                <w:sz w:val="18"/>
                <w:szCs w:val="18"/>
              </w:rPr>
              <w:t xml:space="preserve">TenZ Oct (views high, ER dipped)</w:t>
            </w:r>
          </w:p>
        </w:tc>
      </w:tr>
      <w:tr>
        <w:tc>
          <w:tcPr>
            <w:shd w:fill="F9FAFB" w:color="auto" w:val="clear"/>
          </w:tcPr>
          <w:p>
            <w:r>
              <w:rPr>
                <w:sz w:val="18"/>
                <w:szCs w:val="18"/>
              </w:rPr>
              <w:t xml:space="preserve">Below Platform Average (&lt;1.94%)</w:t>
            </w:r>
          </w:p>
        </w:tc>
        <w:tc>
          <w:tcPr>
            <w:shd w:fill="FFFFFF" w:color="auto" w:val="clear"/>
          </w:tcPr>
          <w:p>
            <w:r>
              <w:rPr>
                <w:sz w:val="18"/>
                <w:szCs w:val="18"/>
              </w:rPr>
              <w:t xml:space="preserve">2</w:t>
            </w:r>
          </w:p>
        </w:tc>
        <w:tc>
          <w:tcPr>
            <w:shd w:fill="FFFFFF" w:color="auto" w:val="clear"/>
          </w:tcPr>
          <w:p>
            <w:r>
              <w:rPr>
                <w:sz w:val="18"/>
                <w:szCs w:val="18"/>
              </w:rPr>
              <w:t xml:space="preserve">aceu Oct, aceu Nov</w:t>
            </w:r>
          </w:p>
        </w:tc>
      </w:tr>
    </w:tbl>
    <w:p>
      <w:pPr>
        <w:spacing w:after="0" w:before="160"/>
      </w:pPr>
    </w:p>
    <w:p>
      <w:pPr>
        <w:pStyle w:val="Heading1"/>
        <w:spacing w:after="120" w:before="300"/>
        <w:rPr>
          <w:b/>
          <w:bCs/>
          <w:color w:val="FF4655"/>
          <w:sz w:val="28"/>
          <w:szCs w:val="28"/>
        </w:rPr>
      </w:pPr>
      <w:r>
        <w:t xml:space="preserve">5. Q1 2025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F4655" w:color="auto" w:val="clear"/>
          </w:tcPr>
          <w:p>
            <w:r>
              <w:rPr>
                <w:b/>
                <w:bCs/>
                <w:color w:val="FFFFFF"/>
                <w:sz w:val="18"/>
                <w:szCs w:val="18"/>
              </w:rPr>
              <w:t xml:space="preserve">Action</w:t>
            </w:r>
          </w:p>
        </w:tc>
        <w:tc>
          <w:tcPr>
            <w:tcW w:type="pct" w:w="25%"/>
            <w:shd w:fill="FF4655" w:color="auto" w:val="clear"/>
          </w:tcPr>
          <w:p>
            <w:r>
              <w:rPr>
                <w:b/>
                <w:bCs/>
                <w:color w:val="FFFFFF"/>
                <w:sz w:val="18"/>
                <w:szCs w:val="18"/>
              </w:rPr>
              <w:t xml:space="preserve">Creator</w:t>
            </w:r>
          </w:p>
        </w:tc>
        <w:tc>
          <w:tcPr>
            <w:tcW w:type="pct" w:w="25%"/>
            <w:shd w:fill="FF4655" w:color="auto" w:val="clear"/>
          </w:tcPr>
          <w:p>
            <w:r>
              <w:rPr>
                <w:b/>
                <w:bCs/>
                <w:color w:val="FFFFFF"/>
                <w:sz w:val="18"/>
                <w:szCs w:val="18"/>
              </w:rPr>
              <w:t xml:space="preserve">Rationale</w:t>
            </w:r>
          </w:p>
        </w:tc>
        <w:tc>
          <w:tcPr>
            <w:tcW w:type="pct" w:w="25%"/>
            <w:shd w:fill="FF4655" w:color="auto" w:val="clear"/>
          </w:tcPr>
          <w:p>
            <w:r>
              <w:rPr>
                <w:b/>
                <w:bCs/>
                <w:color w:val="FFFFFF"/>
                <w:sz w:val="18"/>
                <w:szCs w:val="18"/>
              </w:rPr>
              <w:t xml:space="preserve">Est. Q1 Spend</w:t>
            </w:r>
          </w:p>
        </w:tc>
      </w:tr>
      <w:tr>
        <w:tc>
          <w:tcPr>
            <w:shd w:fill="F9FAFB" w:color="auto" w:val="clear"/>
          </w:tcPr>
          <w:p>
            <w:r>
              <w:rPr>
                <w:sz w:val="18"/>
                <w:szCs w:val="18"/>
              </w:rPr>
              <w:t xml:space="preserve">SCALE +50%</w:t>
            </w:r>
          </w:p>
        </w:tc>
        <w:tc>
          <w:tcPr>
            <w:shd w:fill="FFFFFF" w:color="auto" w:val="clear"/>
          </w:tcPr>
          <w:p>
            <w:r>
              <w:rPr>
                <w:sz w:val="18"/>
                <w:szCs w:val="18"/>
              </w:rPr>
              <w:t xml:space="preserve">tarik</w:t>
            </w:r>
          </w:p>
        </w:tc>
        <w:tc>
          <w:tcPr>
            <w:shd w:fill="FFFFFF" w:color="auto" w:val="clear"/>
          </w:tcPr>
          <w:p>
            <w:r>
              <w:rPr>
                <w:sz w:val="18"/>
                <w:szCs w:val="18"/>
              </w:rPr>
              <w:t xml:space="preserve">Best ROI, only improving trend</w:t>
            </w:r>
          </w:p>
        </w:tc>
        <w:tc>
          <w:tcPr>
            <w:shd w:fill="FFFFFF" w:color="auto" w:val="clear"/>
          </w:tcPr>
          <w:p>
            <w:r>
              <w:rPr>
                <w:sz w:val="18"/>
                <w:szCs w:val="18"/>
              </w:rPr>
              <w:t xml:space="preserve">$30K/mo</w:t>
            </w:r>
          </w:p>
        </w:tc>
      </w:tr>
      <w:tr>
        <w:tc>
          <w:tcPr>
            <w:shd w:fill="F9FAFB" w:color="auto" w:val="clear"/>
          </w:tcPr>
          <w:p>
            <w:r>
              <w:rPr>
                <w:sz w:val="18"/>
                <w:szCs w:val="18"/>
              </w:rPr>
              <w:t xml:space="preserve">RENEW flat</w:t>
            </w:r>
          </w:p>
        </w:tc>
        <w:tc>
          <w:tcPr>
            <w:shd w:fill="FFFFFF" w:color="auto" w:val="clear"/>
          </w:tcPr>
          <w:p>
            <w:r>
              <w:rPr>
                <w:sz w:val="18"/>
                <w:szCs w:val="18"/>
              </w:rPr>
              <w:t xml:space="preserve">TenZ</w:t>
            </w:r>
          </w:p>
        </w:tc>
        <w:tc>
          <w:tcPr>
            <w:shd w:fill="FFFFFF" w:color="auto" w:val="clear"/>
          </w:tcPr>
          <w:p>
            <w:r>
              <w:rPr>
                <w:sz w:val="18"/>
                <w:szCs w:val="18"/>
              </w:rPr>
              <w:t xml:space="preserve">Audience loyalty + viral upside</w:t>
            </w:r>
          </w:p>
        </w:tc>
        <w:tc>
          <w:tcPr>
            <w:shd w:fill="FFFFFF" w:color="auto" w:val="clear"/>
          </w:tcPr>
          <w:p>
            <w:r>
              <w:rPr>
                <w:sz w:val="18"/>
                <w:szCs w:val="18"/>
              </w:rPr>
              <w:t xml:space="preserve">$25K/mo</w:t>
            </w:r>
          </w:p>
        </w:tc>
      </w:tr>
      <w:tr>
        <w:tc>
          <w:tcPr>
            <w:shd w:fill="F9FAFB" w:color="auto" w:val="clear"/>
          </w:tcPr>
          <w:p>
            <w:r>
              <w:rPr>
                <w:sz w:val="18"/>
                <w:szCs w:val="18"/>
              </w:rPr>
              <w:t xml:space="preserve">RENEW flat</w:t>
            </w:r>
          </w:p>
        </w:tc>
        <w:tc>
          <w:tcPr>
            <w:shd w:fill="FFFFFF" w:color="auto" w:val="clear"/>
          </w:tcPr>
          <w:p>
            <w:r>
              <w:rPr>
                <w:sz w:val="18"/>
                <w:szCs w:val="18"/>
              </w:rPr>
              <w:t xml:space="preserve">Kyedae</w:t>
            </w:r>
          </w:p>
        </w:tc>
        <w:tc>
          <w:tcPr>
            <w:shd w:fill="FFFFFF" w:color="auto" w:val="clear"/>
          </w:tcPr>
          <w:p>
            <w:r>
              <w:rPr>
                <w:sz w:val="18"/>
                <w:szCs w:val="18"/>
              </w:rPr>
              <w:t xml:space="preserve">Above benchmark, loyal audience</w:t>
            </w:r>
          </w:p>
        </w:tc>
        <w:tc>
          <w:tcPr>
            <w:shd w:fill="FFFFFF" w:color="auto" w:val="clear"/>
          </w:tcPr>
          <w:p>
            <w:r>
              <w:rPr>
                <w:sz w:val="18"/>
                <w:szCs w:val="18"/>
              </w:rPr>
              <w:t xml:space="preserve">$22K/mo</w:t>
            </w:r>
          </w:p>
        </w:tc>
      </w:tr>
      <w:tr>
        <w:tc>
          <w:tcPr>
            <w:shd w:fill="F9FAFB" w:color="auto" w:val="clear"/>
          </w:tcPr>
          <w:p>
            <w:r>
              <w:rPr>
                <w:sz w:val="18"/>
                <w:szCs w:val="18"/>
              </w:rPr>
              <w:t xml:space="preserve">MONITOR</w:t>
            </w:r>
          </w:p>
        </w:tc>
        <w:tc>
          <w:tcPr>
            <w:shd w:fill="FFFFFF" w:color="auto" w:val="clear"/>
          </w:tcPr>
          <w:p>
            <w:r>
              <w:rPr>
                <w:sz w:val="18"/>
                <w:szCs w:val="18"/>
              </w:rPr>
              <w:t xml:space="preserve">Sinatraa</w:t>
            </w:r>
          </w:p>
        </w:tc>
        <w:tc>
          <w:tcPr>
            <w:shd w:fill="FFFFFF" w:color="auto" w:val="clear"/>
          </w:tcPr>
          <w:p>
            <w:r>
              <w:rPr>
                <w:sz w:val="18"/>
                <w:szCs w:val="18"/>
              </w:rPr>
              <w:t xml:space="preserve">Watch one more cycle</w:t>
            </w:r>
          </w:p>
        </w:tc>
        <w:tc>
          <w:tcPr>
            <w:shd w:fill="FFFFFF" w:color="auto" w:val="clear"/>
          </w:tcPr>
          <w:p>
            <w:r>
              <w:rPr>
                <w:sz w:val="18"/>
                <w:szCs w:val="18"/>
              </w:rPr>
              <w:t xml:space="preserve">$8K/mo</w:t>
            </w:r>
          </w:p>
        </w:tc>
      </w:tr>
      <w:tr>
        <w:tc>
          <w:tcPr>
            <w:shd w:fill="F9FAFB" w:color="auto" w:val="clear"/>
          </w:tcPr>
          <w:p>
            <w:r>
              <w:rPr>
                <w:sz w:val="18"/>
                <w:szCs w:val="18"/>
              </w:rPr>
              <w:t xml:space="preserve">ROTATE OUT</w:t>
            </w:r>
          </w:p>
        </w:tc>
        <w:tc>
          <w:tcPr>
            <w:shd w:fill="FFFFFF" w:color="auto" w:val="clear"/>
          </w:tcPr>
          <w:p>
            <w:r>
              <w:rPr>
                <w:sz w:val="18"/>
                <w:szCs w:val="18"/>
              </w:rPr>
              <w:t xml:space="preserve">Protatomonster</w:t>
            </w:r>
          </w:p>
        </w:tc>
        <w:tc>
          <w:tcPr>
            <w:shd w:fill="FFFFFF" w:color="auto" w:val="clear"/>
          </w:tcPr>
          <w:p>
            <w:r>
              <w:rPr>
                <w:sz w:val="18"/>
                <w:szCs w:val="18"/>
              </w:rPr>
              <w:t xml:space="preserve">Flat vs cost, no upside signal</w:t>
            </w:r>
          </w:p>
        </w:tc>
        <w:tc>
          <w:tcPr>
            <w:shd w:fill="FFFFFF" w:color="auto" w:val="clear"/>
          </w:tcPr>
          <w:p>
            <w:r>
              <w:rPr>
                <w:sz w:val="18"/>
                <w:szCs w:val="18"/>
              </w:rPr>
              <w:t xml:space="preserve">$0</w:t>
            </w:r>
          </w:p>
        </w:tc>
      </w:tr>
      <w:tr>
        <w:tc>
          <w:tcPr>
            <w:shd w:fill="F9FAFB" w:color="auto" w:val="clear"/>
          </w:tcPr>
          <w:p>
            <w:r>
              <w:rPr>
                <w:sz w:val="18"/>
                <w:szCs w:val="18"/>
              </w:rPr>
              <w:t xml:space="preserve">RENEGOTIATE -30%</w:t>
            </w:r>
          </w:p>
        </w:tc>
        <w:tc>
          <w:tcPr>
            <w:shd w:fill="FFFFFF" w:color="auto" w:val="clear"/>
          </w:tcPr>
          <w:p>
            <w:r>
              <w:rPr>
                <w:sz w:val="18"/>
                <w:szCs w:val="18"/>
              </w:rPr>
              <w:t xml:space="preserve">aceu</w:t>
            </w:r>
          </w:p>
        </w:tc>
        <w:tc>
          <w:tcPr>
            <w:shd w:fill="FFFFFF" w:color="auto" w:val="clear"/>
          </w:tcPr>
          <w:p>
            <w:r>
              <w:rPr>
                <w:sz w:val="18"/>
                <w:szCs w:val="18"/>
              </w:rPr>
              <w:t xml:space="preserve">CPE 14× benchmark, renegotiate or drop</w:t>
            </w:r>
          </w:p>
        </w:tc>
        <w:tc>
          <w:tcPr>
            <w:shd w:fill="FFFFFF" w:color="auto" w:val="clear"/>
          </w:tcPr>
          <w:p>
            <w:r>
              <w:rPr>
                <w:sz w:val="18"/>
                <w:szCs w:val="18"/>
              </w:rPr>
              <w:t xml:space="preserve">$20K/mo (↓)</w:t>
            </w:r>
          </w:p>
        </w:tc>
      </w:tr>
    </w:tbl>
    <w:p>
      <w:pPr>
        <w:spacing w:after="0" w:before="240"/>
      </w:pPr>
    </w:p>
    <w:p>
      <w:pPr>
        <w:pStyle w:val="Heading1"/>
        <w:spacing w:after="120" w:before="300"/>
        <w:rPr>
          <w:b/>
          <w:bCs/>
          <w:color w:val="FF4655"/>
          <w:sz w:val="28"/>
          <w:szCs w:val="28"/>
        </w:rPr>
      </w:pPr>
      <w:r>
        <w:t xml:space="preserve">6. Methodology Note</w:t>
      </w:r>
    </w:p>
    <w:p>
      <w:pPr>
        <w:pStyle w:val="ListParagraph"/>
        <w:numPr>
          <w:ilvl w:val="0"/>
          <w:numId w:val="1"/>
        </w:numPr>
        <w:spacing w:after="40" w:before="40"/>
      </w:pPr>
      <w:r>
        <w:rPr>
          <w:sz w:val="20"/>
          <w:szCs w:val="20"/>
        </w:rPr>
        <w:t xml:space="preserve">Data: 112 real YouTube API v3 videos across 6 creators (Q3+Q4 2024). Fetched via channels, search, and videos endpoints.</w:t>
      </w:r>
    </w:p>
    <w:p>
      <w:pPr>
        <w:pStyle w:val="ListParagraph"/>
        <w:numPr>
          <w:ilvl w:val="0"/>
          <w:numId w:val="1"/>
        </w:numPr>
        <w:spacing w:after="40" w:before="40"/>
      </w:pPr>
      <w:r>
        <w:rPr>
          <w:sz w:val="20"/>
          <w:szCs w:val="20"/>
        </w:rPr>
        <w:t xml:space="preserve">Engagement Rate: (likes + comments) ÷ views × 100. Shares not available via public API.</w:t>
      </w:r>
    </w:p>
    <w:p>
      <w:pPr>
        <w:pStyle w:val="ListParagraph"/>
        <w:numPr>
          <w:ilvl w:val="0"/>
          <w:numId w:val="1"/>
        </w:numPr>
        <w:spacing w:after="40" w:before="40"/>
      </w:pPr>
      <w:r>
        <w:rPr>
          <w:sz w:val="20"/>
          <w:szCs w:val="20"/>
        </w:rPr>
        <w:t xml:space="preserve">Watch time modelled at 50% average completion (YouTube does not surface this via public API).</w:t>
      </w:r>
    </w:p>
    <w:p>
      <w:pPr>
        <w:pStyle w:val="ListParagraph"/>
        <w:numPr>
          <w:ilvl w:val="0"/>
          <w:numId w:val="1"/>
        </w:numPr>
        <w:spacing w:after="40" w:before="40"/>
      </w:pPr>
      <w:r>
        <w:rPr>
          <w:sz w:val="20"/>
          <w:szCs w:val="20"/>
        </w:rPr>
        <w:t xml:space="preserve">CPE based on Influencer Marketing Hub 2024 benchmarks — not actual contract rates. Actual CPE would differ.</w:t>
      </w:r>
    </w:p>
    <w:p>
      <w:pPr>
        <w:pStyle w:val="ListParagraph"/>
        <w:numPr>
          <w:ilvl w:val="0"/>
          <w:numId w:val="1"/>
        </w:numPr>
        <w:spacing w:after="40" w:before="40"/>
      </w:pPr>
      <w:r>
        <w:rPr>
          <w:sz w:val="20"/>
          <w:szCs w:val="20"/>
        </w:rPr>
        <w:t xml:space="preserve">Google Trends values are relative (0–100 within the pull window), used for directional context only.</w:t>
      </w:r>
    </w:p>
    <w:p>
      <w:pPr>
        <w:pStyle w:val="ListParagraph"/>
        <w:numPr>
          <w:ilvl w:val="0"/>
          <w:numId w:val="1"/>
        </w:numPr>
        <w:spacing w:after="40" w:before="40"/>
      </w:pPr>
      <w:r>
        <w:rPr>
          <w:sz w:val="20"/>
          <w:szCs w:val="20"/>
        </w:rPr>
        <w:t xml:space="preserve">Full replication guide in METHODOLOGY.md; reusable template in PLAYBOOK.md.</w:t>
      </w:r>
    </w:p>
    <w:p>
      <w:pPr>
        <w:spacing w:after="0" w:before="240"/>
      </w:pPr>
    </w:p>
    <w:p>
      <w:pPr>
        <w:jc w:val="center"/>
      </w:pPr>
      <w:r>
        <w:rPr>
          <w:i/>
          <w:iCs/>
          <w:color w:val="6B7280"/>
          <w:sz w:val="16"/>
          <w:szCs w:val="16"/>
        </w:rPr>
        <w:t xml:space="preserve">Assessment submitted for HardScope Lead Analyst, Creator Strategy &amp; ROI</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2026-04-13T07:02:13.990Z</dcterms:created>
  <dcterms:modified xsi:type="dcterms:W3CDTF">2026-04-13T07:02:13.990Z</dcterms:modified>
</cp:coreProperties>
</file>

<file path=docProps/custom.xml><?xml version="1.0" encoding="utf-8"?>
<Properties xmlns="http://schemas.openxmlformats.org/officeDocument/2006/custom-properties" xmlns:vt="http://schemas.openxmlformats.org/officeDocument/2006/docPropsVTypes"/>
</file>