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b/>
          <w:bCs/>
          <w:color w:val="FF4655"/>
          <w:sz w:val="42"/>
          <w:szCs w:val="42"/>
        </w:rPr>
        <w:t xml:space="preserve">VALORANT Creator Campaign — Executive Summary</w:t>
      </w:r>
    </w:p>
    <w:p>
      <w:pPr>
        <w:spacing w:after="60" w:before="0"/>
        <w:jc w:val="center"/>
      </w:pPr>
      <w:r>
        <w:rPr>
          <w:color w:val="6B7280"/>
          <w:sz w:val="20"/>
          <w:szCs w:val="20"/>
        </w:rPr>
        <w:t xml:space="preserve">Q3 + Q4 2024  ·  6 Creators  ·  112 Real YouTube API Videos  ·  HardScope Assessment</w:t>
      </w:r>
    </w:p>
    <w:p>
      <w:pPr>
        <w:spacing w:after="400" w:before="0"/>
        <w:jc w:val="center"/>
      </w:pPr>
      <w:r>
        <w:rPr>
          <w:i/>
          <w:iCs/>
          <w:color w:val="6B7280"/>
          <w:sz w:val="18"/>
          <w:szCs w:val="18"/>
        </w:rPr>
        <w:t xml:space="preserve">Prepared by: Sachin Jain  ·  Analysis frozen at: January 15, 2025</w:t>
      </w:r>
    </w:p>
    <w:p>
      <w:pPr>
        <w:pBdr>
          <w:bottom w:val="single" w:color="FF4655" w:sz="8" w:space="4"/>
        </w:pBdr>
        <w:spacing w:after="120" w:before="320"/>
      </w:pPr>
      <w:r>
        <w:rPr>
          <w:b/>
          <w:bCs/>
          <w:color w:val="FF4655"/>
          <w:sz w:val="30"/>
          <w:szCs w:val="30"/>
        </w:rPr>
        <w:t xml:space="preserve">1.  Program Scorecard — Q4 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FF4655" w:color="auto" w:val="clear"/>
          </w:tcPr>
          <w:p>
            <w:r>
              <w:rPr>
                <w:b/>
                <w:bCs/>
                <w:color w:val="FFFFFF"/>
                <w:sz w:val="17"/>
                <w:szCs w:val="17"/>
              </w:rPr>
              <w:t xml:space="preserve">Metric</w:t>
            </w:r>
          </w:p>
        </w:tc>
        <w:tc>
          <w:tcPr>
            <w:tcW w:type="dxa" w:w="1800"/>
            <w:shd w:fill="FF4655" w:color="auto" w:val="clear"/>
          </w:tcPr>
          <w:p>
            <w:r>
              <w:rPr>
                <w:b/>
                <w:bCs/>
                <w:color w:val="FFFFFF"/>
                <w:sz w:val="17"/>
                <w:szCs w:val="17"/>
              </w:rPr>
              <w:t xml:space="preserve">Q4 Value</w:t>
            </w:r>
          </w:p>
        </w:tc>
        <w:tc>
          <w:tcPr>
            <w:tcW w:type="dxa" w:w="1800"/>
            <w:shd w:fill="FF4655" w:color="auto" w:val="clear"/>
          </w:tcPr>
          <w:p>
            <w:r>
              <w:rPr>
                <w:b/>
                <w:bCs/>
                <w:color w:val="FFFFFF"/>
                <w:sz w:val="17"/>
                <w:szCs w:val="17"/>
              </w:rPr>
              <w:t xml:space="preserve">Benchmark</w:t>
            </w:r>
          </w:p>
        </w:tc>
        <w:tc>
          <w:tcPr>
            <w:tcW w:type="dxa" w:w="1800"/>
            <w:shd w:fill="FF4655" w:color="auto" w:val="clear"/>
          </w:tcPr>
          <w:p>
            <w:r>
              <w:rPr>
                <w:b/>
                <w:bCs/>
                <w:color w:val="FFFFFF"/>
                <w:sz w:val="17"/>
                <w:szCs w:val="17"/>
              </w:rPr>
              <w:t xml:space="preserve">Status</w:t>
            </w:r>
          </w:p>
        </w:tc>
        <w:tc>
          <w:tcPr>
            <w:tcW w:type="dxa" w:w="1800"/>
            <w:shd w:fill="FF4655" w:color="auto" w:val="clear"/>
          </w:tcPr>
          <w:p>
            <w:r>
              <w:rPr>
                <w:b/>
                <w:bCs/>
                <w:color w:val="FFFFFF"/>
                <w:sz w:val="17"/>
                <w:szCs w:val="17"/>
              </w:rPr>
              <w:t xml:space="preserve">Note</w:t>
            </w:r>
          </w:p>
        </w:tc>
      </w:tr>
      <w:tr>
        <w:tc>
          <w:tcPr>
            <w:shd w:fill="F9FAFB" w:color="auto" w:val="clear"/>
          </w:tcPr>
          <w:p>
            <w:r>
              <w:rPr>
                <w:color w:val="111827"/>
                <w:sz w:val="17"/>
                <w:szCs w:val="17"/>
              </w:rPr>
              <w:t xml:space="preserve">Total Views</w:t>
            </w:r>
          </w:p>
        </w:tc>
        <w:tc>
          <w:tcPr>
            <w:shd w:fill="FFFFFF" w:color="auto" w:val="clear"/>
          </w:tcPr>
          <w:p>
            <w:r>
              <w:rPr>
                <w:color w:val="111827"/>
                <w:sz w:val="17"/>
                <w:szCs w:val="17"/>
              </w:rPr>
              <w:t xml:space="preserve">7.3M</w:t>
            </w:r>
          </w:p>
        </w:tc>
        <w:tc>
          <w:tcPr>
            <w:shd w:fill="FFFFFF" w:color="auto" w:val="clear"/>
          </w:tcPr>
          <w:p>
            <w:r>
              <w:rPr>
                <w:color w:val="111827"/>
                <w:sz w:val="17"/>
                <w:szCs w:val="17"/>
              </w:rPr>
              <w:t xml:space="preserve">—</w:t>
            </w:r>
          </w:p>
        </w:tc>
        <w:tc>
          <w:tcPr>
            <w:shd w:fill="FFFFFF" w:color="auto" w:val="clear"/>
          </w:tcPr>
          <w:p>
            <w:r>
              <w:rPr>
                <w:color w:val="111827"/>
                <w:sz w:val="17"/>
                <w:szCs w:val="17"/>
              </w:rPr>
              <w:t xml:space="preserve">—</w:t>
            </w:r>
          </w:p>
        </w:tc>
        <w:tc>
          <w:tcPr>
            <w:shd w:fill="FFFFFF" w:color="auto" w:val="clear"/>
          </w:tcPr>
          <w:p>
            <w:r>
              <w:rPr>
                <w:color w:val="111827"/>
                <w:sz w:val="17"/>
                <w:szCs w:val="17"/>
              </w:rPr>
              <w:t xml:space="preserve">Real API data</w:t>
            </w:r>
          </w:p>
        </w:tc>
      </w:tr>
      <w:tr>
        <w:tc>
          <w:tcPr>
            <w:shd w:fill="F9FAFB" w:color="auto" w:val="clear"/>
          </w:tcPr>
          <w:p>
            <w:r>
              <w:rPr>
                <w:color w:val="111827"/>
                <w:sz w:val="17"/>
                <w:szCs w:val="17"/>
              </w:rPr>
              <w:t xml:space="preserve">Total Engagements</w:t>
            </w:r>
          </w:p>
        </w:tc>
        <w:tc>
          <w:tcPr>
            <w:shd w:fill="F3F4F6" w:color="auto" w:val="clear"/>
          </w:tcPr>
          <w:p>
            <w:r>
              <w:rPr>
                <w:color w:val="111827"/>
                <w:sz w:val="17"/>
                <w:szCs w:val="17"/>
              </w:rPr>
              <w:t xml:space="preserve">234K</w:t>
            </w:r>
          </w:p>
        </w:tc>
        <w:tc>
          <w:tcPr>
            <w:shd w:fill="F3F4F6" w:color="auto" w:val="clear"/>
          </w:tcPr>
          <w:p>
            <w:r>
              <w:rPr>
                <w:color w:val="111827"/>
                <w:sz w:val="17"/>
                <w:szCs w:val="17"/>
              </w:rPr>
              <w:t xml:space="preserve">—</w:t>
            </w:r>
          </w:p>
        </w:tc>
        <w:tc>
          <w:tcPr>
            <w:shd w:fill="F3F4F6" w:color="auto" w:val="clear"/>
          </w:tcPr>
          <w:p>
            <w:r>
              <w:rPr>
                <w:color w:val="111827"/>
                <w:sz w:val="17"/>
                <w:szCs w:val="17"/>
              </w:rPr>
              <w:t xml:space="preserve">—</w:t>
            </w:r>
          </w:p>
        </w:tc>
        <w:tc>
          <w:tcPr>
            <w:shd w:fill="F3F4F6" w:color="auto" w:val="clear"/>
          </w:tcPr>
          <w:p>
            <w:r>
              <w:rPr>
                <w:color w:val="111827"/>
                <w:sz w:val="17"/>
                <w:szCs w:val="17"/>
              </w:rPr>
              <w:t xml:space="preserve">Likes + comments</w:t>
            </w:r>
          </w:p>
        </w:tc>
      </w:tr>
      <w:tr>
        <w:tc>
          <w:tcPr>
            <w:shd w:fill="F9FAFB" w:color="auto" w:val="clear"/>
          </w:tcPr>
          <w:p>
            <w:r>
              <w:rPr>
                <w:color w:val="111827"/>
                <w:sz w:val="17"/>
                <w:szCs w:val="17"/>
              </w:rPr>
              <w:t xml:space="preserve">Blended ER</w:t>
            </w:r>
          </w:p>
        </w:tc>
        <w:tc>
          <w:tcPr>
            <w:shd w:fill="FFFFFF" w:color="auto" w:val="clear"/>
          </w:tcPr>
          <w:p>
            <w:r>
              <w:rPr>
                <w:color w:val="111827"/>
                <w:sz w:val="17"/>
                <w:szCs w:val="17"/>
              </w:rPr>
              <w:t xml:space="preserve">3.19%</w:t>
            </w:r>
          </w:p>
        </w:tc>
        <w:tc>
          <w:tcPr>
            <w:shd w:fill="FFFFFF" w:color="auto" w:val="clear"/>
          </w:tcPr>
          <w:p>
            <w:r>
              <w:rPr>
                <w:color w:val="111827"/>
                <w:sz w:val="17"/>
                <w:szCs w:val="17"/>
              </w:rPr>
              <w:t xml:space="preserve">3.87%</w:t>
            </w:r>
          </w:p>
        </w:tc>
        <w:tc>
          <w:tcPr>
            <w:shd w:fill="FFFFFF" w:color="auto" w:val="clear"/>
          </w:tcPr>
          <w:p>
            <w:r>
              <w:rPr>
                <w:color w:val="111827"/>
                <w:sz w:val="17"/>
                <w:szCs w:val="17"/>
              </w:rPr>
              <w:t xml:space="preserve">⚠ Below</w:t>
            </w:r>
          </w:p>
        </w:tc>
        <w:tc>
          <w:tcPr>
            <w:shd w:fill="FFFFFF" w:color="auto" w:val="clear"/>
          </w:tcPr>
          <w:p>
            <w:r>
              <w:rPr>
                <w:color w:val="111827"/>
                <w:sz w:val="17"/>
                <w:szCs w:val="17"/>
              </w:rPr>
              <w:t xml:space="preserve">Category headwind explains gap</w:t>
            </w:r>
          </w:p>
        </w:tc>
      </w:tr>
      <w:tr>
        <w:tc>
          <w:tcPr>
            <w:shd w:fill="F9FAFB" w:color="auto" w:val="clear"/>
          </w:tcPr>
          <w:p>
            <w:r>
              <w:rPr>
                <w:color w:val="111827"/>
                <w:sz w:val="17"/>
                <w:szCs w:val="17"/>
              </w:rPr>
              <w:t xml:space="preserve">Top Creator ER</w:t>
            </w:r>
          </w:p>
        </w:tc>
        <w:tc>
          <w:tcPr>
            <w:shd w:fill="F3F4F6" w:color="auto" w:val="clear"/>
          </w:tcPr>
          <w:p>
            <w:r>
              <w:rPr>
                <w:color w:val="111827"/>
                <w:sz w:val="17"/>
                <w:szCs w:val="17"/>
              </w:rPr>
              <w:t xml:space="preserve">4.45% (tarik)</w:t>
            </w:r>
          </w:p>
        </w:tc>
        <w:tc>
          <w:tcPr>
            <w:shd w:fill="F3F4F6" w:color="auto" w:val="clear"/>
          </w:tcPr>
          <w:p>
            <w:r>
              <w:rPr>
                <w:color w:val="111827"/>
                <w:sz w:val="17"/>
                <w:szCs w:val="17"/>
              </w:rPr>
              <w:t xml:space="preserve">3.87%</w:t>
            </w:r>
          </w:p>
        </w:tc>
        <w:tc>
          <w:tcPr>
            <w:shd w:fill="F3F4F6" w:color="auto" w:val="clear"/>
          </w:tcPr>
          <w:p>
            <w:r>
              <w:rPr>
                <w:color w:val="111827"/>
                <w:sz w:val="17"/>
                <w:szCs w:val="17"/>
              </w:rPr>
              <w:t xml:space="preserve">✓ Above</w:t>
            </w:r>
          </w:p>
        </w:tc>
        <w:tc>
          <w:tcPr>
            <w:shd w:fill="F3F4F6" w:color="auto" w:val="clear"/>
          </w:tcPr>
          <w:p>
            <w:r>
              <w:rPr>
                <w:color w:val="111827"/>
                <w:sz w:val="17"/>
                <w:szCs w:val="17"/>
              </w:rPr>
              <w:t xml:space="preserve">Counter-cyclical; scale signal</w:t>
            </w:r>
          </w:p>
        </w:tc>
      </w:tr>
      <w:tr>
        <w:tc>
          <w:tcPr>
            <w:shd w:fill="F9FAFB" w:color="auto" w:val="clear"/>
          </w:tcPr>
          <w:p>
            <w:r>
              <w:rPr>
                <w:color w:val="111827"/>
                <w:sz w:val="17"/>
                <w:szCs w:val="17"/>
              </w:rPr>
              <w:t xml:space="preserve">Est. CPE</w:t>
            </w:r>
          </w:p>
        </w:tc>
        <w:tc>
          <w:tcPr>
            <w:shd w:fill="FFFFFF" w:color="auto" w:val="clear"/>
          </w:tcPr>
          <w:p>
            <w:r>
              <w:rPr>
                <w:color w:val="111827"/>
                <w:sz w:val="17"/>
                <w:szCs w:val="17"/>
              </w:rPr>
              <w:t xml:space="preserve">$0.81 blended</w:t>
            </w:r>
          </w:p>
        </w:tc>
        <w:tc>
          <w:tcPr>
            <w:shd w:fill="FFFFFF" w:color="auto" w:val="clear"/>
          </w:tcPr>
          <w:p>
            <w:r>
              <w:rPr>
                <w:color w:val="111827"/>
                <w:sz w:val="17"/>
                <w:szCs w:val="17"/>
              </w:rPr>
              <w:t xml:space="preserve">$0.25</w:t>
            </w:r>
          </w:p>
        </w:tc>
        <w:tc>
          <w:tcPr>
            <w:shd w:fill="FFFFFF" w:color="auto" w:val="clear"/>
          </w:tcPr>
          <w:p>
            <w:r>
              <w:rPr>
                <w:color w:val="111827"/>
                <w:sz w:val="17"/>
                <w:szCs w:val="17"/>
              </w:rPr>
              <w:t xml:space="preserve">✗ Overrun</w:t>
            </w:r>
          </w:p>
        </w:tc>
        <w:tc>
          <w:tcPr>
            <w:shd w:fill="FFFFFF" w:color="auto" w:val="clear"/>
          </w:tcPr>
          <w:p>
            <w:r>
              <w:rPr>
                <w:color w:val="111827"/>
                <w:sz w:val="17"/>
                <w:szCs w:val="17"/>
              </w:rPr>
              <w:t xml:space="preserve">MODELLED — not actual rates*</w:t>
            </w:r>
          </w:p>
        </w:tc>
      </w:tr>
      <w:tr>
        <w:tc>
          <w:tcPr>
            <w:shd w:fill="F9FAFB" w:color="auto" w:val="clear"/>
          </w:tcPr>
          <w:p>
            <w:r>
              <w:rPr>
                <w:color w:val="111827"/>
                <w:sz w:val="17"/>
                <w:szCs w:val="17"/>
              </w:rPr>
              <w:t xml:space="preserve">Estimated Spend</w:t>
            </w:r>
          </w:p>
        </w:tc>
        <w:tc>
          <w:tcPr>
            <w:shd w:fill="F3F4F6" w:color="auto" w:val="clear"/>
          </w:tcPr>
          <w:p>
            <w:r>
              <w:rPr>
                <w:color w:val="111827"/>
                <w:sz w:val="17"/>
                <w:szCs w:val="17"/>
              </w:rPr>
              <w:t xml:space="preserve">~$190K/mo</w:t>
            </w:r>
          </w:p>
        </w:tc>
        <w:tc>
          <w:tcPr>
            <w:shd w:fill="F3F4F6" w:color="auto" w:val="clear"/>
          </w:tcPr>
          <w:p>
            <w:r>
              <w:rPr>
                <w:color w:val="111827"/>
                <w:sz w:val="17"/>
                <w:szCs w:val="17"/>
              </w:rPr>
              <w:t xml:space="preserve">—</w:t>
            </w:r>
          </w:p>
        </w:tc>
        <w:tc>
          <w:tcPr>
            <w:shd w:fill="F3F4F6" w:color="auto" w:val="clear"/>
          </w:tcPr>
          <w:p>
            <w:r>
              <w:rPr>
                <w:color w:val="111827"/>
                <w:sz w:val="17"/>
                <w:szCs w:val="17"/>
              </w:rPr>
              <w:t xml:space="preserve">—</w:t>
            </w:r>
          </w:p>
        </w:tc>
        <w:tc>
          <w:tcPr>
            <w:shd w:fill="F3F4F6" w:color="auto" w:val="clear"/>
          </w:tcPr>
          <w:p>
            <w:r>
              <w:rPr>
                <w:color w:val="111827"/>
                <w:sz w:val="17"/>
                <w:szCs w:val="17"/>
              </w:rPr>
              <w:t xml:space="preserve">MODELLED — see methodology</w:t>
            </w:r>
          </w:p>
        </w:tc>
      </w:tr>
    </w:tbl>
    <w:p>
      <w:pPr>
        <w:spacing w:after="80" w:before="40"/>
        <w:ind w:left="300"/>
      </w:pPr>
      <w:r>
        <w:rPr>
          <w:i/>
          <w:iCs/>
          <w:color w:val="B45309"/>
          <w:sz w:val="18"/>
          <w:szCs w:val="18"/>
        </w:rPr>
        <w:t xml:space="preserve">⚠  CPE and monthly spend figures are modelled estimates based on Influencer Marketing Hub 2024 benchmarks. Actual CPE will differ. Replace with real contract data before using for budget decisions.</w:t>
      </w:r>
    </w:p>
    <w:p>
      <w:pPr>
        <w:spacing w:after="0" w:before="160"/>
      </w:pPr>
    </w:p>
    <w:p>
      <w:pPr>
        <w:pBdr>
          <w:bottom w:val="single" w:color="FF4655" w:sz="8" w:space="4"/>
        </w:pBdr>
        <w:spacing w:after="120" w:before="320"/>
      </w:pPr>
      <w:r>
        <w:rPr>
          <w:b/>
          <w:bCs/>
          <w:color w:val="FF4655"/>
          <w:sz w:val="30"/>
          <w:szCs w:val="30"/>
        </w:rPr>
        <w:t xml:space="preserve">2.  Q4 Creator Leaderboard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shd w:fill="FF4655" w:color="auto" w:val="clear"/>
          </w:tcPr>
          <w:p>
            <w:r>
              <w:rPr>
                <w:b/>
                <w:bCs/>
                <w:color w:val="FFFFFF"/>
                <w:sz w:val="17"/>
                <w:szCs w:val="17"/>
              </w:rPr>
              <w:t xml:space="preserve">Rank</w:t>
            </w:r>
          </w:p>
        </w:tc>
        <w:tc>
          <w:tcPr>
            <w:tcW w:type="dxa" w:w="1285"/>
            <w:shd w:fill="FF4655" w:color="auto" w:val="clear"/>
          </w:tcPr>
          <w:p>
            <w:r>
              <w:rPr>
                <w:b/>
                <w:bCs/>
                <w:color w:val="FFFFFF"/>
                <w:sz w:val="17"/>
                <w:szCs w:val="17"/>
              </w:rPr>
              <w:t xml:space="preserve">Creator</w:t>
            </w:r>
          </w:p>
        </w:tc>
        <w:tc>
          <w:tcPr>
            <w:tcW w:type="dxa" w:w="1285"/>
            <w:shd w:fill="FF4655" w:color="auto" w:val="clear"/>
          </w:tcPr>
          <w:p>
            <w:r>
              <w:rPr>
                <w:b/>
                <w:bCs/>
                <w:color w:val="FFFFFF"/>
                <w:sz w:val="17"/>
                <w:szCs w:val="17"/>
              </w:rPr>
              <w:t xml:space="preserve">Tier</w:t>
            </w:r>
          </w:p>
        </w:tc>
        <w:tc>
          <w:tcPr>
            <w:tcW w:type="dxa" w:w="1285"/>
            <w:shd w:fill="FF4655" w:color="auto" w:val="clear"/>
          </w:tcPr>
          <w:p>
            <w:r>
              <w:rPr>
                <w:b/>
                <w:bCs/>
                <w:color w:val="FFFFFF"/>
                <w:sz w:val="17"/>
                <w:szCs w:val="17"/>
              </w:rPr>
              <w:t xml:space="preserve">Q4 Avg ER</w:t>
            </w:r>
          </w:p>
        </w:tc>
        <w:tc>
          <w:tcPr>
            <w:tcW w:type="dxa" w:w="1285"/>
            <w:shd w:fill="FF4655" w:color="auto" w:val="clear"/>
          </w:tcPr>
          <w:p>
            <w:r>
              <w:rPr>
                <w:b/>
                <w:bCs/>
                <w:color w:val="FFFFFF"/>
                <w:sz w:val="17"/>
                <w:szCs w:val="17"/>
              </w:rPr>
              <w:t xml:space="preserve">Est. CPE*</w:t>
            </w:r>
          </w:p>
        </w:tc>
        <w:tc>
          <w:tcPr>
            <w:tcW w:type="dxa" w:w="1285"/>
            <w:shd w:fill="FF4655" w:color="auto" w:val="clear"/>
          </w:tcPr>
          <w:p>
            <w:r>
              <w:rPr>
                <w:b/>
                <w:bCs/>
                <w:color w:val="FFFFFF"/>
                <w:sz w:val="17"/>
                <w:szCs w:val="17"/>
              </w:rPr>
              <w:t xml:space="preserve">ΔER vs Q3</w:t>
            </w:r>
          </w:p>
        </w:tc>
        <w:tc>
          <w:tcPr>
            <w:tcW w:type="dxa" w:w="1285"/>
            <w:shd w:fill="FF4655" w:color="auto" w:val="clear"/>
          </w:tcPr>
          <w:p>
            <w:r>
              <w:rPr>
                <w:b/>
                <w:bCs/>
                <w:color w:val="FFFFFF"/>
                <w:sz w:val="17"/>
                <w:szCs w:val="17"/>
              </w:rPr>
              <w:t xml:space="preserve">Q1 Action</w:t>
            </w:r>
          </w:p>
        </w:tc>
      </w:tr>
      <w:tr>
        <w:tc>
          <w:tcPr>
            <w:shd w:fill="F9FAFB" w:color="auto" w:val="clear"/>
          </w:tcPr>
          <w:p>
            <w:r>
              <w:rPr>
                <w:color w:val="111827"/>
                <w:sz w:val="17"/>
                <w:szCs w:val="17"/>
              </w:rPr>
              <w:t xml:space="preserve">1</w:t>
            </w:r>
          </w:p>
        </w:tc>
        <w:tc>
          <w:tcPr>
            <w:shd w:fill="FFFFFF" w:color="auto" w:val="clear"/>
          </w:tcPr>
          <w:p>
            <w:r>
              <w:rPr>
                <w:color w:val="111827"/>
                <w:sz w:val="17"/>
                <w:szCs w:val="17"/>
              </w:rPr>
              <w:t xml:space="preserve">tarik</w:t>
            </w:r>
          </w:p>
        </w:tc>
        <w:tc>
          <w:tcPr>
            <w:shd w:fill="FFFFFF" w:color="auto" w:val="clear"/>
          </w:tcPr>
          <w:p>
            <w:r>
              <w:rPr>
                <w:color w:val="111827"/>
                <w:sz w:val="17"/>
                <w:szCs w:val="17"/>
              </w:rPr>
              <w:t xml:space="preserve">Macro</w:t>
            </w:r>
          </w:p>
        </w:tc>
        <w:tc>
          <w:tcPr>
            <w:shd w:fill="FFFFFF" w:color="auto" w:val="clear"/>
          </w:tcPr>
          <w:p>
            <w:r>
              <w:rPr>
                <w:color w:val="111827"/>
                <w:sz w:val="17"/>
                <w:szCs w:val="17"/>
              </w:rPr>
              <w:t xml:space="preserve">4.45%</w:t>
            </w:r>
          </w:p>
        </w:tc>
        <w:tc>
          <w:tcPr>
            <w:shd w:fill="FFFFFF" w:color="auto" w:val="clear"/>
          </w:tcPr>
          <w:p>
            <w:r>
              <w:rPr>
                <w:color w:val="111827"/>
                <w:sz w:val="17"/>
                <w:szCs w:val="17"/>
              </w:rPr>
              <w:t xml:space="preserve">$0.20 ✓</w:t>
            </w:r>
          </w:p>
        </w:tc>
        <w:tc>
          <w:tcPr>
            <w:shd w:fill="FFFFFF" w:color="auto" w:val="clear"/>
          </w:tcPr>
          <w:p>
            <w:r>
              <w:rPr>
                <w:color w:val="111827"/>
                <w:sz w:val="17"/>
                <w:szCs w:val="17"/>
              </w:rPr>
              <w:t xml:space="preserve">+1.14pp</w:t>
            </w:r>
          </w:p>
        </w:tc>
        <w:tc>
          <w:tcPr>
            <w:shd w:fill="FFFFFF" w:color="auto" w:val="clear"/>
          </w:tcPr>
          <w:p>
            <w:r>
              <w:rPr>
                <w:color w:val="111827"/>
                <w:sz w:val="17"/>
                <w:szCs w:val="17"/>
              </w:rPr>
              <w:t xml:space="preserve">SCALE +50%</w:t>
            </w:r>
          </w:p>
        </w:tc>
      </w:tr>
      <w:tr>
        <w:tc>
          <w:tcPr>
            <w:shd w:fill="F9FAFB" w:color="auto" w:val="clear"/>
          </w:tcPr>
          <w:p>
            <w:r>
              <w:rPr>
                <w:color w:val="111827"/>
                <w:sz w:val="17"/>
                <w:szCs w:val="17"/>
              </w:rPr>
              <w:t xml:space="preserve">2</w:t>
            </w:r>
          </w:p>
        </w:tc>
        <w:tc>
          <w:tcPr>
            <w:shd w:fill="F3F4F6" w:color="auto" w:val="clear"/>
          </w:tcPr>
          <w:p>
            <w:r>
              <w:rPr>
                <w:color w:val="111827"/>
                <w:sz w:val="17"/>
                <w:szCs w:val="17"/>
              </w:rPr>
              <w:t xml:space="preserve">TenZ</w:t>
            </w:r>
          </w:p>
        </w:tc>
        <w:tc>
          <w:tcPr>
            <w:shd w:fill="F3F4F6" w:color="auto" w:val="clear"/>
          </w:tcPr>
          <w:p>
            <w:r>
              <w:rPr>
                <w:color w:val="111827"/>
                <w:sz w:val="17"/>
                <w:szCs w:val="17"/>
              </w:rPr>
              <w:t xml:space="preserve">Macro</w:t>
            </w:r>
          </w:p>
        </w:tc>
        <w:tc>
          <w:tcPr>
            <w:shd w:fill="F3F4F6" w:color="auto" w:val="clear"/>
          </w:tcPr>
          <w:p>
            <w:r>
              <w:rPr>
                <w:color w:val="111827"/>
                <w:sz w:val="17"/>
                <w:szCs w:val="17"/>
              </w:rPr>
              <w:t xml:space="preserve">3.71%</w:t>
            </w:r>
          </w:p>
        </w:tc>
        <w:tc>
          <w:tcPr>
            <w:shd w:fill="F3F4F6" w:color="auto" w:val="clear"/>
          </w:tcPr>
          <w:p>
            <w:r>
              <w:rPr>
                <w:color w:val="111827"/>
                <w:sz w:val="17"/>
                <w:szCs w:val="17"/>
              </w:rPr>
              <w:t xml:space="preserve">$0.14 ✓</w:t>
            </w:r>
          </w:p>
        </w:tc>
        <w:tc>
          <w:tcPr>
            <w:shd w:fill="F3F4F6" w:color="auto" w:val="clear"/>
          </w:tcPr>
          <w:p>
            <w:r>
              <w:rPr>
                <w:color w:val="111827"/>
                <w:sz w:val="17"/>
                <w:szCs w:val="17"/>
              </w:rPr>
              <w:t xml:space="preserve">-0.65pp</w:t>
            </w:r>
          </w:p>
        </w:tc>
        <w:tc>
          <w:tcPr>
            <w:shd w:fill="F3F4F6" w:color="auto" w:val="clear"/>
          </w:tcPr>
          <w:p>
            <w:r>
              <w:rPr>
                <w:color w:val="111827"/>
                <w:sz w:val="17"/>
                <w:szCs w:val="17"/>
              </w:rPr>
              <w:t xml:space="preserve">RENEW</w:t>
            </w:r>
          </w:p>
        </w:tc>
      </w:tr>
      <w:tr>
        <w:tc>
          <w:tcPr>
            <w:shd w:fill="F9FAFB" w:color="auto" w:val="clear"/>
          </w:tcPr>
          <w:p>
            <w:r>
              <w:rPr>
                <w:color w:val="111827"/>
                <w:sz w:val="17"/>
                <w:szCs w:val="17"/>
              </w:rPr>
              <w:t xml:space="preserve">3</w:t>
            </w:r>
          </w:p>
        </w:tc>
        <w:tc>
          <w:tcPr>
            <w:shd w:fill="FFFFFF" w:color="auto" w:val="clear"/>
          </w:tcPr>
          <w:p>
            <w:r>
              <w:rPr>
                <w:color w:val="111827"/>
                <w:sz w:val="17"/>
                <w:szCs w:val="17"/>
              </w:rPr>
              <w:t xml:space="preserve">Kyedae</w:t>
            </w:r>
          </w:p>
        </w:tc>
        <w:tc>
          <w:tcPr>
            <w:shd w:fill="FFFFFF" w:color="auto" w:val="clear"/>
          </w:tcPr>
          <w:p>
            <w:r>
              <w:rPr>
                <w:color w:val="111827"/>
                <w:sz w:val="17"/>
                <w:szCs w:val="17"/>
              </w:rPr>
              <w:t xml:space="preserve">Macro</w:t>
            </w:r>
          </w:p>
        </w:tc>
        <w:tc>
          <w:tcPr>
            <w:shd w:fill="FFFFFF" w:color="auto" w:val="clear"/>
          </w:tcPr>
          <w:p>
            <w:r>
              <w:rPr>
                <w:color w:val="111827"/>
                <w:sz w:val="17"/>
                <w:szCs w:val="17"/>
              </w:rPr>
              <w:t xml:space="preserve">3.28%</w:t>
            </w:r>
          </w:p>
        </w:tc>
        <w:tc>
          <w:tcPr>
            <w:shd w:fill="FFFFFF" w:color="auto" w:val="clear"/>
          </w:tcPr>
          <w:p>
            <w:r>
              <w:rPr>
                <w:color w:val="111827"/>
                <w:sz w:val="17"/>
                <w:szCs w:val="17"/>
              </w:rPr>
              <w:t xml:space="preserve">$0.34 !</w:t>
            </w:r>
          </w:p>
        </w:tc>
        <w:tc>
          <w:tcPr>
            <w:shd w:fill="FFFFFF" w:color="auto" w:val="clear"/>
          </w:tcPr>
          <w:p>
            <w:r>
              <w:rPr>
                <w:color w:val="111827"/>
                <w:sz w:val="17"/>
                <w:szCs w:val="17"/>
              </w:rPr>
              <w:t xml:space="preserve">-1.11pp</w:t>
            </w:r>
          </w:p>
        </w:tc>
        <w:tc>
          <w:tcPr>
            <w:shd w:fill="FFFFFF" w:color="auto" w:val="clear"/>
          </w:tcPr>
          <w:p>
            <w:r>
              <w:rPr>
                <w:color w:val="111827"/>
                <w:sz w:val="17"/>
                <w:szCs w:val="17"/>
              </w:rPr>
              <w:t xml:space="preserve">RENEW</w:t>
            </w:r>
          </w:p>
        </w:tc>
      </w:tr>
      <w:tr>
        <w:tc>
          <w:tcPr>
            <w:shd w:fill="F9FAFB" w:color="auto" w:val="clear"/>
          </w:tcPr>
          <w:p>
            <w:r>
              <w:rPr>
                <w:color w:val="111827"/>
                <w:sz w:val="17"/>
                <w:szCs w:val="17"/>
              </w:rPr>
              <w:t xml:space="preserve">4</w:t>
            </w:r>
          </w:p>
        </w:tc>
        <w:tc>
          <w:tcPr>
            <w:shd w:fill="F3F4F6" w:color="auto" w:val="clear"/>
          </w:tcPr>
          <w:p>
            <w:r>
              <w:rPr>
                <w:color w:val="111827"/>
                <w:sz w:val="17"/>
                <w:szCs w:val="17"/>
              </w:rPr>
              <w:t xml:space="preserve">Sinatraa</w:t>
            </w:r>
          </w:p>
        </w:tc>
        <w:tc>
          <w:tcPr>
            <w:shd w:fill="F3F4F6" w:color="auto" w:val="clear"/>
          </w:tcPr>
          <w:p>
            <w:r>
              <w:rPr>
                <w:color w:val="111827"/>
                <w:sz w:val="17"/>
                <w:szCs w:val="17"/>
              </w:rPr>
              <w:t xml:space="preserve">Mid</w:t>
            </w:r>
          </w:p>
        </w:tc>
        <w:tc>
          <w:tcPr>
            <w:shd w:fill="F3F4F6" w:color="auto" w:val="clear"/>
          </w:tcPr>
          <w:p>
            <w:r>
              <w:rPr>
                <w:color w:val="111827"/>
                <w:sz w:val="17"/>
                <w:szCs w:val="17"/>
              </w:rPr>
              <w:t xml:space="preserve">2.63%</w:t>
            </w:r>
          </w:p>
        </w:tc>
        <w:tc>
          <w:tcPr>
            <w:shd w:fill="F3F4F6" w:color="auto" w:val="clear"/>
          </w:tcPr>
          <w:p>
            <w:r>
              <w:rPr>
                <w:color w:val="111827"/>
                <w:sz w:val="17"/>
                <w:szCs w:val="17"/>
              </w:rPr>
              <w:t xml:space="preserve">$0.38 !</w:t>
            </w:r>
          </w:p>
        </w:tc>
        <w:tc>
          <w:tcPr>
            <w:shd w:fill="F3F4F6" w:color="auto" w:val="clear"/>
          </w:tcPr>
          <w:p>
            <w:r>
              <w:rPr>
                <w:color w:val="111827"/>
                <w:sz w:val="17"/>
                <w:szCs w:val="17"/>
              </w:rPr>
              <w:t xml:space="preserve">-1.37pp</w:t>
            </w:r>
          </w:p>
        </w:tc>
        <w:tc>
          <w:tcPr>
            <w:shd w:fill="F3F4F6" w:color="auto" w:val="clear"/>
          </w:tcPr>
          <w:p>
            <w:r>
              <w:rPr>
                <w:color w:val="111827"/>
                <w:sz w:val="17"/>
                <w:szCs w:val="17"/>
              </w:rPr>
              <w:t xml:space="preserve">MONITOR</w:t>
            </w:r>
          </w:p>
        </w:tc>
      </w:tr>
      <w:tr>
        <w:tc>
          <w:tcPr>
            <w:shd w:fill="F9FAFB" w:color="auto" w:val="clear"/>
          </w:tcPr>
          <w:p>
            <w:r>
              <w:rPr>
                <w:color w:val="111827"/>
                <w:sz w:val="17"/>
                <w:szCs w:val="17"/>
              </w:rPr>
              <w:t xml:space="preserve">5</w:t>
            </w:r>
          </w:p>
        </w:tc>
        <w:tc>
          <w:tcPr>
            <w:shd w:fill="FFFFFF" w:color="auto" w:val="clear"/>
          </w:tcPr>
          <w:p>
            <w:r>
              <w:rPr>
                <w:color w:val="111827"/>
                <w:sz w:val="17"/>
                <w:szCs w:val="17"/>
              </w:rPr>
              <w:t xml:space="preserve">Protatomonster</w:t>
            </w:r>
          </w:p>
        </w:tc>
        <w:tc>
          <w:tcPr>
            <w:shd w:fill="FFFFFF" w:color="auto" w:val="clear"/>
          </w:tcPr>
          <w:p>
            <w:r>
              <w:rPr>
                <w:color w:val="111827"/>
                <w:sz w:val="17"/>
                <w:szCs w:val="17"/>
              </w:rPr>
              <w:t xml:space="preserve">Mid</w:t>
            </w:r>
          </w:p>
        </w:tc>
        <w:tc>
          <w:tcPr>
            <w:shd w:fill="FFFFFF" w:color="auto" w:val="clear"/>
          </w:tcPr>
          <w:p>
            <w:r>
              <w:rPr>
                <w:color w:val="111827"/>
                <w:sz w:val="17"/>
                <w:szCs w:val="17"/>
              </w:rPr>
              <w:t xml:space="preserve">2.54%</w:t>
            </w:r>
          </w:p>
        </w:tc>
        <w:tc>
          <w:tcPr>
            <w:shd w:fill="FFFFFF" w:color="auto" w:val="clear"/>
          </w:tcPr>
          <w:p>
            <w:r>
              <w:rPr>
                <w:color w:val="111827"/>
                <w:sz w:val="17"/>
                <w:szCs w:val="17"/>
              </w:rPr>
              <w:t xml:space="preserve">$0.55 !</w:t>
            </w:r>
          </w:p>
        </w:tc>
        <w:tc>
          <w:tcPr>
            <w:shd w:fill="FFFFFF" w:color="auto" w:val="clear"/>
          </w:tcPr>
          <w:p>
            <w:r>
              <w:rPr>
                <w:color w:val="111827"/>
                <w:sz w:val="17"/>
                <w:szCs w:val="17"/>
              </w:rPr>
              <w:t xml:space="preserve">-0.33pp</w:t>
            </w:r>
          </w:p>
        </w:tc>
        <w:tc>
          <w:tcPr>
            <w:shd w:fill="FFFFFF" w:color="auto" w:val="clear"/>
          </w:tcPr>
          <w:p>
            <w:r>
              <w:rPr>
                <w:color w:val="111827"/>
                <w:sz w:val="17"/>
                <w:szCs w:val="17"/>
              </w:rPr>
              <w:t xml:space="preserve">ROTATE OUT</w:t>
            </w:r>
          </w:p>
        </w:tc>
      </w:tr>
      <w:tr>
        <w:tc>
          <w:tcPr>
            <w:shd w:fill="F9FAFB" w:color="auto" w:val="clear"/>
          </w:tcPr>
          <w:p>
            <w:r>
              <w:rPr>
                <w:color w:val="111827"/>
                <w:sz w:val="17"/>
                <w:szCs w:val="17"/>
              </w:rPr>
              <w:t xml:space="preserve">6</w:t>
            </w:r>
          </w:p>
        </w:tc>
        <w:tc>
          <w:tcPr>
            <w:shd w:fill="F3F4F6" w:color="auto" w:val="clear"/>
          </w:tcPr>
          <w:p>
            <w:r>
              <w:rPr>
                <w:color w:val="111827"/>
                <w:sz w:val="17"/>
                <w:szCs w:val="17"/>
              </w:rPr>
              <w:t xml:space="preserve">aceu</w:t>
            </w:r>
          </w:p>
        </w:tc>
        <w:tc>
          <w:tcPr>
            <w:shd w:fill="F3F4F6" w:color="auto" w:val="clear"/>
          </w:tcPr>
          <w:p>
            <w:r>
              <w:rPr>
                <w:color w:val="111827"/>
                <w:sz w:val="17"/>
                <w:szCs w:val="17"/>
              </w:rPr>
              <w:t xml:space="preserve">Macro</w:t>
            </w:r>
          </w:p>
        </w:tc>
        <w:tc>
          <w:tcPr>
            <w:shd w:fill="F3F4F6" w:color="auto" w:val="clear"/>
          </w:tcPr>
          <w:p>
            <w:r>
              <w:rPr>
                <w:color w:val="111827"/>
                <w:sz w:val="17"/>
                <w:szCs w:val="17"/>
              </w:rPr>
              <w:t xml:space="preserve">1.23%</w:t>
            </w:r>
          </w:p>
        </w:tc>
        <w:tc>
          <w:tcPr>
            <w:shd w:fill="F3F4F6" w:color="auto" w:val="clear"/>
          </w:tcPr>
          <w:p>
            <w:r>
              <w:rPr>
                <w:color w:val="111827"/>
                <w:sz w:val="17"/>
                <w:szCs w:val="17"/>
              </w:rPr>
              <w:t xml:space="preserve">$3.46 ✗</w:t>
            </w:r>
          </w:p>
        </w:tc>
        <w:tc>
          <w:tcPr>
            <w:shd w:fill="F3F4F6" w:color="auto" w:val="clear"/>
          </w:tcPr>
          <w:p>
            <w:r>
              <w:rPr>
                <w:color w:val="111827"/>
                <w:sz w:val="17"/>
                <w:szCs w:val="17"/>
              </w:rPr>
              <w:t xml:space="preserve">-2.10pp</w:t>
            </w:r>
          </w:p>
        </w:tc>
        <w:tc>
          <w:tcPr>
            <w:shd w:fill="F3F4F6" w:color="auto" w:val="clear"/>
          </w:tcPr>
          <w:p>
            <w:r>
              <w:rPr>
                <w:color w:val="111827"/>
                <w:sz w:val="17"/>
                <w:szCs w:val="17"/>
              </w:rPr>
              <w:t xml:space="preserve">RENEGOTIATE -30%</w:t>
            </w:r>
          </w:p>
        </w:tc>
      </w:tr>
    </w:tbl>
    <w:p>
      <w:pPr>
        <w:spacing w:after="80" w:before="40"/>
        <w:ind w:left="300"/>
      </w:pPr>
      <w:r>
        <w:rPr>
          <w:i/>
          <w:iCs/>
          <w:color w:val="B45309"/>
          <w:sz w:val="18"/>
          <w:szCs w:val="18"/>
        </w:rPr>
        <w:t xml:space="preserve">⚠  * CPE column uses modelled spend. Tier = Mega &gt;5M | Macro 1M–5M | Mid 500K–1M subscribers.</w:t>
      </w:r>
    </w:p>
    <w:p>
      <w:pPr>
        <w:spacing w:after="0" w:before="160"/>
      </w:pPr>
    </w:p>
    <w:p>
      <w:pPr>
        <w:pBdr>
          <w:bottom w:val="single" w:color="FF4655" w:sz="8" w:space="4"/>
        </w:pBdr>
        <w:spacing w:after="120" w:before="320"/>
      </w:pPr>
      <w:r>
        <w:rPr>
          <w:b/>
          <w:bCs/>
          <w:color w:val="FF4655"/>
          <w:sz w:val="30"/>
          <w:szCs w:val="30"/>
        </w:rPr>
        <w:t xml:space="preserve">3.  Key Insights</w:t>
      </w:r>
    </w:p>
    <w:p>
      <w:pPr>
        <w:spacing w:after="80" w:before="200"/>
      </w:pPr>
      <w:r>
        <w:rPr>
          <w:b/>
          <w:bCs/>
          <w:color w:val="B45309"/>
          <w:sz w:val="22"/>
          <w:szCs w:val="22"/>
        </w:rPr>
        <w:t xml:space="preserve">Category Headwind — 44% Drop in VALORANT Search Interest Q3 → Q4</w:t>
      </w:r>
    </w:p>
    <w:p>
      <w:pPr>
        <w:spacing w:after="80" w:before="60"/>
      </w:pPr>
      <w:r>
        <w:rPr>
          <w:color w:val="111827"/>
          <w:sz w:val="20"/>
          <w:szCs w:val="20"/>
        </w:rPr>
        <w:t xml:space="preserve">Google Trends data (valorant, US, Jul–Dec 2024) shows avg search interest of 65.4 in Q3 vs 36.7 in Q4 — a 44% compression. The August peak (77.2) coincided with VCT Champions Seoul. This macro category decline partially explains Q4 ER drops across the program. The correct interpretation is not "creators underperformed" but rather "the game lost broader cultural momentum and creators held on better than the category average."</w:t>
      </w:r>
    </w:p>
    <w:p>
      <w:pPr>
        <w:spacing w:after="80" w:before="200"/>
      </w:pPr>
      <w:r>
        <w:rPr>
          <w:b/>
          <w:bCs/>
          <w:color w:val="1D4ED8"/>
          <w:sz w:val="22"/>
          <w:szCs w:val="22"/>
        </w:rPr>
        <w:t xml:space="preserve">TenZ Viral Outlier — Normalized Q3 Baseline</w:t>
      </w:r>
    </w:p>
    <w:p>
      <w:pPr>
        <w:spacing w:after="80" w:before="60"/>
      </w:pPr>
      <w:r>
        <w:rPr>
          <w:color w:val="111827"/>
          <w:sz w:val="20"/>
          <w:szCs w:val="20"/>
        </w:rPr>
        <w:t xml:space="preserve">TenZ published a 56-second Short (video ID: BiCvVGcuPKE, title: "sometimes you gotta do it all yourself") that generated 7.4M views — 78.7% of his entire Q3 total. Including this video inflates his Q3 ER to 4.51% and would make the Q4 comparison (3.71%) appear as a -0.80pp decline. Excluding it gives a normalized Q3 ER of 3.58%, yielding a more accurate -0.65pp delta. The viral outlier is preserved in the raw CSV and flagged in all modelled outputs.</w:t>
      </w:r>
    </w:p>
    <w:p>
      <w:pPr>
        <w:spacing w:after="80" w:before="200"/>
      </w:pPr>
      <w:r>
        <w:rPr>
          <w:b/>
          <w:bCs/>
          <w:color w:val="166534"/>
          <w:sz w:val="22"/>
          <w:szCs w:val="22"/>
        </w:rPr>
        <w:t xml:space="preserve">tarik — The Only Counter-Cyclical Creator</w:t>
      </w:r>
    </w:p>
    <w:p>
      <w:pPr>
        <w:spacing w:after="80" w:before="60"/>
      </w:pPr>
      <w:r>
        <w:rPr>
          <w:color w:val="111827"/>
          <w:sz w:val="20"/>
          <w:szCs w:val="20"/>
        </w:rPr>
        <w:t xml:space="preserve">tarik is the only creator in the program whose ER improved Q3→Q4 (+1.14pp) despite the category headwind. This is the analytically strongest signal in the dataset: genuine audience engagement that does not depend on game hype cycles. At current estimated CPE ($0.20 — Acceptable tier), he delivers the best ROI in the program. Recommended action: scale Q1 2025 budget by 50%.</w:t>
      </w:r>
    </w:p>
    <w:p>
      <w:pPr>
        <w:spacing w:after="80" w:before="200"/>
      </w:pPr>
      <w:r>
        <w:rPr>
          <w:b/>
          <w:bCs/>
          <w:color w:val="FF4655"/>
          <w:sz w:val="22"/>
          <w:szCs w:val="22"/>
        </w:rPr>
        <w:t xml:space="preserve">aceu — Structural Underperformance</w:t>
      </w:r>
    </w:p>
    <w:p>
      <w:pPr>
        <w:spacing w:after="80" w:before="60"/>
      </w:pPr>
      <w:r>
        <w:rPr>
          <w:color w:val="111827"/>
          <w:sz w:val="20"/>
          <w:szCs w:val="20"/>
        </w:rPr>
        <w:t xml:space="preserve">aceu produced an average ER of 1.23% in Q4 — the only creator below the 50% benchmark floor of 1.94%. His estimated CPE of $3.46 is 14× above the Efficient ceiling and 31× above the Acceptable ceiling. All three Q4 months showed below-floor performance. At Macro tier (1.8M subscribers) a lower-than-global ER is expected, but 1.23% falls well below even that adjusted expectation. This is an audience-fit issue, not seasonal.</w:t>
      </w:r>
    </w:p>
    <w:p>
      <w:pPr>
        <w:spacing w:after="0" w:before="160"/>
      </w:pPr>
    </w:p>
    <w:p>
      <w:pPr>
        <w:pBdr>
          <w:bottom w:val="single" w:color="FF4655" w:sz="8" w:space="4"/>
        </w:pBdr>
        <w:spacing w:after="120" w:before="320"/>
      </w:pPr>
      <w:r>
        <w:rPr>
          <w:b/>
          <w:bCs/>
          <w:color w:val="FF4655"/>
          <w:sz w:val="30"/>
          <w:szCs w:val="30"/>
        </w:rPr>
        <w:t xml:space="preserve">4.  Automated Alert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FF4655" w:color="auto" w:val="clear"/>
          </w:tcPr>
          <w:p>
            <w:r>
              <w:rPr>
                <w:b/>
                <w:bCs/>
                <w:color w:val="FFFFFF"/>
                <w:sz w:val="17"/>
                <w:szCs w:val="17"/>
              </w:rPr>
              <w:t xml:space="preserve">Alert Type</w:t>
            </w:r>
          </w:p>
        </w:tc>
        <w:tc>
          <w:tcPr>
            <w:tcW w:type="dxa" w:w="2250"/>
            <w:shd w:fill="FF4655" w:color="auto" w:val="clear"/>
          </w:tcPr>
          <w:p>
            <w:r>
              <w:rPr>
                <w:b/>
                <w:bCs/>
                <w:color w:val="FFFFFF"/>
                <w:sz w:val="17"/>
                <w:szCs w:val="17"/>
              </w:rPr>
              <w:t xml:space="preserve">Count</w:t>
            </w:r>
          </w:p>
        </w:tc>
        <w:tc>
          <w:tcPr>
            <w:tcW w:type="dxa" w:w="2250"/>
            <w:shd w:fill="FF4655" w:color="auto" w:val="clear"/>
          </w:tcPr>
          <w:p>
            <w:r>
              <w:rPr>
                <w:b/>
                <w:bCs/>
                <w:color w:val="FFFFFF"/>
                <w:sz w:val="17"/>
                <w:szCs w:val="17"/>
              </w:rPr>
              <w:t xml:space="preserve">Logic</w:t>
            </w:r>
          </w:p>
        </w:tc>
        <w:tc>
          <w:tcPr>
            <w:tcW w:type="dxa" w:w="2250"/>
            <w:shd w:fill="FF4655" w:color="auto" w:val="clear"/>
          </w:tcPr>
          <w:p>
            <w:r>
              <w:rPr>
                <w:b/>
                <w:bCs/>
                <w:color w:val="FFFFFF"/>
                <w:sz w:val="17"/>
                <w:szCs w:val="17"/>
              </w:rPr>
              <w:t xml:space="preserve">Primary Offenders</w:t>
            </w:r>
          </w:p>
        </w:tc>
      </w:tr>
      <w:tr>
        <w:tc>
          <w:tcPr>
            <w:shd w:fill="F9FAFB" w:color="auto" w:val="clear"/>
          </w:tcPr>
          <w:p>
            <w:r>
              <w:rPr>
                <w:color w:val="111827"/>
                <w:sz w:val="17"/>
                <w:szCs w:val="17"/>
              </w:rPr>
              <w:t xml:space="preserve">CPE Overrun</w:t>
            </w:r>
          </w:p>
        </w:tc>
        <w:tc>
          <w:tcPr>
            <w:shd w:fill="FFFFFF" w:color="auto" w:val="clear"/>
          </w:tcPr>
          <w:p>
            <w:r>
              <w:rPr>
                <w:color w:val="111827"/>
                <w:sz w:val="17"/>
                <w:szCs w:val="17"/>
              </w:rPr>
              <w:t xml:space="preserve">12</w:t>
            </w:r>
          </w:p>
        </w:tc>
        <w:tc>
          <w:tcPr>
            <w:shd w:fill="FFFFFF" w:color="auto" w:val="clear"/>
          </w:tcPr>
          <w:p>
            <w:r>
              <w:rPr>
                <w:color w:val="111827"/>
                <w:sz w:val="17"/>
                <w:szCs w:val="17"/>
              </w:rPr>
              <w:t xml:space="preserve">CPE &gt; $0.25</w:t>
            </w:r>
          </w:p>
        </w:tc>
        <w:tc>
          <w:tcPr>
            <w:shd w:fill="FFFFFF" w:color="auto" w:val="clear"/>
          </w:tcPr>
          <w:p>
            <w:r>
              <w:rPr>
                <w:color w:val="111827"/>
                <w:sz w:val="17"/>
                <w:szCs w:val="17"/>
              </w:rPr>
              <w:t xml:space="preserve">aceu (all 3), Sinatraa, Kyedae, Protatomonster</w:t>
            </w:r>
          </w:p>
        </w:tc>
      </w:tr>
      <w:tr>
        <w:tc>
          <w:tcPr>
            <w:shd w:fill="F9FAFB" w:color="auto" w:val="clear"/>
          </w:tcPr>
          <w:p>
            <w:r>
              <w:rPr>
                <w:color w:val="111827"/>
                <w:sz w:val="17"/>
                <w:szCs w:val="17"/>
              </w:rPr>
              <w:t xml:space="preserve">Declining ER</w:t>
            </w:r>
          </w:p>
        </w:tc>
        <w:tc>
          <w:tcPr>
            <w:shd w:fill="F3F4F6" w:color="auto" w:val="clear"/>
          </w:tcPr>
          <w:p>
            <w:r>
              <w:rPr>
                <w:color w:val="111827"/>
                <w:sz w:val="17"/>
                <w:szCs w:val="17"/>
              </w:rPr>
              <w:t xml:space="preserve">4</w:t>
            </w:r>
          </w:p>
        </w:tc>
        <w:tc>
          <w:tcPr>
            <w:shd w:fill="F3F4F6" w:color="auto" w:val="clear"/>
          </w:tcPr>
          <w:p>
            <w:r>
              <w:rPr>
                <w:color w:val="111827"/>
                <w:sz w:val="17"/>
                <w:szCs w:val="17"/>
              </w:rPr>
              <w:t xml:space="preserve">ΔER &lt; −0.5pp vs Q3</w:t>
            </w:r>
          </w:p>
        </w:tc>
        <w:tc>
          <w:tcPr>
            <w:shd w:fill="F3F4F6" w:color="auto" w:val="clear"/>
          </w:tcPr>
          <w:p>
            <w:r>
              <w:rPr>
                <w:color w:val="111827"/>
                <w:sz w:val="17"/>
                <w:szCs w:val="17"/>
              </w:rPr>
              <w:t xml:space="preserve">Sinatraa −1.37pp, Kyedae −1.11pp, aceu −2.10pp</w:t>
            </w:r>
          </w:p>
        </w:tc>
      </w:tr>
      <w:tr>
        <w:tc>
          <w:tcPr>
            <w:shd w:fill="F9FAFB" w:color="auto" w:val="clear"/>
          </w:tcPr>
          <w:p>
            <w:r>
              <w:rPr>
                <w:color w:val="111827"/>
                <w:sz w:val="17"/>
                <w:szCs w:val="17"/>
              </w:rPr>
              <w:t xml:space="preserve">High Volume/Low Quality</w:t>
            </w:r>
          </w:p>
        </w:tc>
        <w:tc>
          <w:tcPr>
            <w:shd w:fill="FFFFFF" w:color="auto" w:val="clear"/>
          </w:tcPr>
          <w:p>
            <w:r>
              <w:rPr>
                <w:color w:val="111827"/>
                <w:sz w:val="17"/>
                <w:szCs w:val="17"/>
              </w:rPr>
              <w:t xml:space="preserve">2</w:t>
            </w:r>
          </w:p>
        </w:tc>
        <w:tc>
          <w:tcPr>
            <w:shd w:fill="FFFFFF" w:color="auto" w:val="clear"/>
          </w:tcPr>
          <w:p>
            <w:r>
              <w:rPr>
                <w:color w:val="111827"/>
                <w:sz w:val="17"/>
                <w:szCs w:val="17"/>
              </w:rPr>
              <w:t xml:space="preserve">Views &gt;500K, ER &lt;2%</w:t>
            </w:r>
          </w:p>
        </w:tc>
        <w:tc>
          <w:tcPr>
            <w:shd w:fill="FFFFFF" w:color="auto" w:val="clear"/>
          </w:tcPr>
          <w:p>
            <w:r>
              <w:rPr>
                <w:color w:val="111827"/>
                <w:sz w:val="17"/>
                <w:szCs w:val="17"/>
              </w:rPr>
              <w:t xml:space="preserve">TenZ Oct (post-viral vol decay)</w:t>
            </w:r>
          </w:p>
        </w:tc>
      </w:tr>
      <w:tr>
        <w:tc>
          <w:tcPr>
            <w:shd w:fill="F9FAFB" w:color="auto" w:val="clear"/>
          </w:tcPr>
          <w:p>
            <w:r>
              <w:rPr>
                <w:color w:val="111827"/>
                <w:sz w:val="17"/>
                <w:szCs w:val="17"/>
              </w:rPr>
              <w:t xml:space="preserve">Below Platform Average</w:t>
            </w:r>
          </w:p>
        </w:tc>
        <w:tc>
          <w:tcPr>
            <w:shd w:fill="F3F4F6" w:color="auto" w:val="clear"/>
          </w:tcPr>
          <w:p>
            <w:r>
              <w:rPr>
                <w:color w:val="111827"/>
                <w:sz w:val="17"/>
                <w:szCs w:val="17"/>
              </w:rPr>
              <w:t xml:space="preserve">2</w:t>
            </w:r>
          </w:p>
        </w:tc>
        <w:tc>
          <w:tcPr>
            <w:shd w:fill="F3F4F6" w:color="auto" w:val="clear"/>
          </w:tcPr>
          <w:p>
            <w:r>
              <w:rPr>
                <w:color w:val="111827"/>
                <w:sz w:val="17"/>
                <w:szCs w:val="17"/>
              </w:rPr>
              <w:t xml:space="preserve">ER &lt; 1.94% (50%)</w:t>
            </w:r>
          </w:p>
        </w:tc>
        <w:tc>
          <w:tcPr>
            <w:shd w:fill="F3F4F6" w:color="auto" w:val="clear"/>
          </w:tcPr>
          <w:p>
            <w:r>
              <w:rPr>
                <w:color w:val="111827"/>
                <w:sz w:val="17"/>
                <w:szCs w:val="17"/>
              </w:rPr>
              <w:t xml:space="preserve">aceu Oct, aceu Nov</w:t>
            </w:r>
          </w:p>
        </w:tc>
      </w:tr>
    </w:tbl>
    <w:p>
      <w:pPr>
        <w:spacing w:after="0" w:before="160"/>
      </w:pPr>
    </w:p>
    <w:p>
      <w:pPr>
        <w:pBdr>
          <w:bottom w:val="single" w:color="FF4655" w:sz="8" w:space="4"/>
        </w:pBdr>
        <w:spacing w:after="120" w:before="320"/>
      </w:pPr>
      <w:r>
        <w:rPr>
          <w:b/>
          <w:bCs/>
          <w:color w:val="FF4655"/>
          <w:sz w:val="30"/>
          <w:szCs w:val="30"/>
        </w:rPr>
        <w:t xml:space="preserve">5.  Q1 2025 Recommendations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FF4655" w:color="auto" w:val="clear"/>
          </w:tcPr>
          <w:p>
            <w:r>
              <w:rPr>
                <w:b/>
                <w:bCs/>
                <w:color w:val="FFFFFF"/>
                <w:sz w:val="17"/>
                <w:szCs w:val="17"/>
              </w:rPr>
              <w:t xml:space="preserve">Action</w:t>
            </w:r>
          </w:p>
        </w:tc>
        <w:tc>
          <w:tcPr>
            <w:tcW w:type="dxa" w:w="2250"/>
            <w:shd w:fill="FF4655" w:color="auto" w:val="clear"/>
          </w:tcPr>
          <w:p>
            <w:r>
              <w:rPr>
                <w:b/>
                <w:bCs/>
                <w:color w:val="FFFFFF"/>
                <w:sz w:val="17"/>
                <w:szCs w:val="17"/>
              </w:rPr>
              <w:t xml:space="preserve">Creator</w:t>
            </w:r>
          </w:p>
        </w:tc>
        <w:tc>
          <w:tcPr>
            <w:tcW w:type="dxa" w:w="2250"/>
            <w:shd w:fill="FF4655" w:color="auto" w:val="clear"/>
          </w:tcPr>
          <w:p>
            <w:r>
              <w:rPr>
                <w:b/>
                <w:bCs/>
                <w:color w:val="FFFFFF"/>
                <w:sz w:val="17"/>
                <w:szCs w:val="17"/>
              </w:rPr>
              <w:t xml:space="preserve">Est. Q1 Spend</w:t>
            </w:r>
          </w:p>
        </w:tc>
        <w:tc>
          <w:tcPr>
            <w:tcW w:type="dxa" w:w="2250"/>
            <w:shd w:fill="FF4655" w:color="auto" w:val="clear"/>
          </w:tcPr>
          <w:p>
            <w:r>
              <w:rPr>
                <w:b/>
                <w:bCs/>
                <w:color w:val="FFFFFF"/>
                <w:sz w:val="17"/>
                <w:szCs w:val="17"/>
              </w:rPr>
              <w:t xml:space="preserve">Key Rationale</w:t>
            </w:r>
          </w:p>
        </w:tc>
      </w:tr>
      <w:tr>
        <w:tc>
          <w:tcPr>
            <w:shd w:fill="F9FAFB" w:color="auto" w:val="clear"/>
          </w:tcPr>
          <w:p>
            <w:r>
              <w:rPr>
                <w:color w:val="111827"/>
                <w:sz w:val="17"/>
                <w:szCs w:val="17"/>
              </w:rPr>
              <w:t xml:space="preserve">SCALE +50%</w:t>
            </w:r>
          </w:p>
        </w:tc>
        <w:tc>
          <w:tcPr>
            <w:shd w:fill="FFFFFF" w:color="auto" w:val="clear"/>
          </w:tcPr>
          <w:p>
            <w:r>
              <w:rPr>
                <w:color w:val="111827"/>
                <w:sz w:val="17"/>
                <w:szCs w:val="17"/>
              </w:rPr>
              <w:t xml:space="preserve">tarik</w:t>
            </w:r>
          </w:p>
        </w:tc>
        <w:tc>
          <w:tcPr>
            <w:shd w:fill="FFFFFF" w:color="auto" w:val="clear"/>
          </w:tcPr>
          <w:p>
            <w:r>
              <w:rPr>
                <w:color w:val="111827"/>
                <w:sz w:val="17"/>
                <w:szCs w:val="17"/>
              </w:rPr>
              <w:t xml:space="preserve">$30K/mo</w:t>
            </w:r>
          </w:p>
        </w:tc>
        <w:tc>
          <w:tcPr>
            <w:shd w:fill="FFFFFF" w:color="auto" w:val="clear"/>
          </w:tcPr>
          <w:p>
            <w:r>
              <w:rPr>
                <w:color w:val="111827"/>
                <w:sz w:val="17"/>
                <w:szCs w:val="17"/>
              </w:rPr>
              <w:t xml:space="preserve">Best ROI + only improving trend during category decline</w:t>
            </w:r>
          </w:p>
        </w:tc>
      </w:tr>
      <w:tr>
        <w:tc>
          <w:tcPr>
            <w:shd w:fill="F9FAFB" w:color="auto" w:val="clear"/>
          </w:tcPr>
          <w:p>
            <w:r>
              <w:rPr>
                <w:color w:val="111827"/>
                <w:sz w:val="17"/>
                <w:szCs w:val="17"/>
              </w:rPr>
              <w:t xml:space="preserve">RENEW FLAT</w:t>
            </w:r>
          </w:p>
        </w:tc>
        <w:tc>
          <w:tcPr>
            <w:shd w:fill="F3F4F6" w:color="auto" w:val="clear"/>
          </w:tcPr>
          <w:p>
            <w:r>
              <w:rPr>
                <w:color w:val="111827"/>
                <w:sz w:val="17"/>
                <w:szCs w:val="17"/>
              </w:rPr>
              <w:t xml:space="preserve">TenZ</w:t>
            </w:r>
          </w:p>
        </w:tc>
        <w:tc>
          <w:tcPr>
            <w:shd w:fill="F3F4F6" w:color="auto" w:val="clear"/>
          </w:tcPr>
          <w:p>
            <w:r>
              <w:rPr>
                <w:color w:val="111827"/>
                <w:sz w:val="17"/>
                <w:szCs w:val="17"/>
              </w:rPr>
              <w:t xml:space="preserve">$25K/mo</w:t>
            </w:r>
          </w:p>
        </w:tc>
        <w:tc>
          <w:tcPr>
            <w:shd w:fill="F3F4F6" w:color="auto" w:val="clear"/>
          </w:tcPr>
          <w:p>
            <w:r>
              <w:rPr>
                <w:color w:val="111827"/>
                <w:sz w:val="17"/>
                <w:szCs w:val="17"/>
              </w:rPr>
              <w:t xml:space="preserve">Audience loyalty + viral upside ceiling</w:t>
            </w:r>
          </w:p>
        </w:tc>
      </w:tr>
      <w:tr>
        <w:tc>
          <w:tcPr>
            <w:shd w:fill="F9FAFB" w:color="auto" w:val="clear"/>
          </w:tcPr>
          <w:p>
            <w:r>
              <w:rPr>
                <w:color w:val="111827"/>
                <w:sz w:val="17"/>
                <w:szCs w:val="17"/>
              </w:rPr>
              <w:t xml:space="preserve">RENEW FLAT</w:t>
            </w:r>
          </w:p>
        </w:tc>
        <w:tc>
          <w:tcPr>
            <w:shd w:fill="FFFFFF" w:color="auto" w:val="clear"/>
          </w:tcPr>
          <w:p>
            <w:r>
              <w:rPr>
                <w:color w:val="111827"/>
                <w:sz w:val="17"/>
                <w:szCs w:val="17"/>
              </w:rPr>
              <w:t xml:space="preserve">Kyedae</w:t>
            </w:r>
          </w:p>
        </w:tc>
        <w:tc>
          <w:tcPr>
            <w:shd w:fill="FFFFFF" w:color="auto" w:val="clear"/>
          </w:tcPr>
          <w:p>
            <w:r>
              <w:rPr>
                <w:color w:val="111827"/>
                <w:sz w:val="17"/>
                <w:szCs w:val="17"/>
              </w:rPr>
              <w:t xml:space="preserve">$22K/mo</w:t>
            </w:r>
          </w:p>
        </w:tc>
        <w:tc>
          <w:tcPr>
            <w:shd w:fill="FFFFFF" w:color="auto" w:val="clear"/>
          </w:tcPr>
          <w:p>
            <w:r>
              <w:rPr>
                <w:color w:val="111827"/>
                <w:sz w:val="17"/>
                <w:szCs w:val="17"/>
              </w:rPr>
              <w:t xml:space="preserve">Above benchmark in Q4; loyal audience</w:t>
            </w:r>
          </w:p>
        </w:tc>
      </w:tr>
      <w:tr>
        <w:tc>
          <w:tcPr>
            <w:shd w:fill="F9FAFB" w:color="auto" w:val="clear"/>
          </w:tcPr>
          <w:p>
            <w:r>
              <w:rPr>
                <w:color w:val="111827"/>
                <w:sz w:val="17"/>
                <w:szCs w:val="17"/>
              </w:rPr>
              <w:t xml:space="preserve">MONITOR</w:t>
            </w:r>
          </w:p>
        </w:tc>
        <w:tc>
          <w:tcPr>
            <w:shd w:fill="F3F4F6" w:color="auto" w:val="clear"/>
          </w:tcPr>
          <w:p>
            <w:r>
              <w:rPr>
                <w:color w:val="111827"/>
                <w:sz w:val="17"/>
                <w:szCs w:val="17"/>
              </w:rPr>
              <w:t xml:space="preserve">Sinatraa</w:t>
            </w:r>
          </w:p>
        </w:tc>
        <w:tc>
          <w:tcPr>
            <w:shd w:fill="F3F4F6" w:color="auto" w:val="clear"/>
          </w:tcPr>
          <w:p>
            <w:r>
              <w:rPr>
                <w:color w:val="111827"/>
                <w:sz w:val="17"/>
                <w:szCs w:val="17"/>
              </w:rPr>
              <w:t xml:space="preserve">$8K/mo</w:t>
            </w:r>
          </w:p>
        </w:tc>
        <w:tc>
          <w:tcPr>
            <w:shd w:fill="F3F4F6" w:color="auto" w:val="clear"/>
          </w:tcPr>
          <w:p>
            <w:r>
              <w:rPr>
                <w:color w:val="111827"/>
                <w:sz w:val="17"/>
                <w:szCs w:val="17"/>
              </w:rPr>
              <w:t xml:space="preserve">Watch one more cycle before cutting</w:t>
            </w:r>
          </w:p>
        </w:tc>
      </w:tr>
      <w:tr>
        <w:tc>
          <w:tcPr>
            <w:shd w:fill="F9FAFB" w:color="auto" w:val="clear"/>
          </w:tcPr>
          <w:p>
            <w:r>
              <w:rPr>
                <w:color w:val="111827"/>
                <w:sz w:val="17"/>
                <w:szCs w:val="17"/>
              </w:rPr>
              <w:t xml:space="preserve">ROTATE OUT</w:t>
            </w:r>
          </w:p>
        </w:tc>
        <w:tc>
          <w:tcPr>
            <w:shd w:fill="FFFFFF" w:color="auto" w:val="clear"/>
          </w:tcPr>
          <w:p>
            <w:r>
              <w:rPr>
                <w:color w:val="111827"/>
                <w:sz w:val="17"/>
                <w:szCs w:val="17"/>
              </w:rPr>
              <w:t xml:space="preserve">Protatomonster</w:t>
            </w:r>
          </w:p>
        </w:tc>
        <w:tc>
          <w:tcPr>
            <w:shd w:fill="FFFFFF" w:color="auto" w:val="clear"/>
          </w:tcPr>
          <w:p>
            <w:r>
              <w:rPr>
                <w:color w:val="111827"/>
                <w:sz w:val="17"/>
                <w:szCs w:val="17"/>
              </w:rPr>
              <w:t xml:space="preserve">$0</w:t>
            </w:r>
          </w:p>
        </w:tc>
        <w:tc>
          <w:tcPr>
            <w:shd w:fill="FFFFFF" w:color="auto" w:val="clear"/>
          </w:tcPr>
          <w:p>
            <w:r>
              <w:rPr>
                <w:color w:val="111827"/>
                <w:sz w:val="17"/>
                <w:szCs w:val="17"/>
              </w:rPr>
              <w:t xml:space="preserve">Flat engagement vs. cost; CPE Review for 3 months</w:t>
            </w:r>
          </w:p>
        </w:tc>
      </w:tr>
      <w:tr>
        <w:tc>
          <w:tcPr>
            <w:shd w:fill="F9FAFB" w:color="auto" w:val="clear"/>
          </w:tcPr>
          <w:p>
            <w:r>
              <w:rPr>
                <w:color w:val="111827"/>
                <w:sz w:val="17"/>
                <w:szCs w:val="17"/>
              </w:rPr>
              <w:t xml:space="preserve">RENEGOTIATE -30%</w:t>
            </w:r>
          </w:p>
        </w:tc>
        <w:tc>
          <w:tcPr>
            <w:shd w:fill="F3F4F6" w:color="auto" w:val="clear"/>
          </w:tcPr>
          <w:p>
            <w:r>
              <w:rPr>
                <w:color w:val="111827"/>
                <w:sz w:val="17"/>
                <w:szCs w:val="17"/>
              </w:rPr>
              <w:t xml:space="preserve">aceu</w:t>
            </w:r>
          </w:p>
        </w:tc>
        <w:tc>
          <w:tcPr>
            <w:shd w:fill="F3F4F6" w:color="auto" w:val="clear"/>
          </w:tcPr>
          <w:p>
            <w:r>
              <w:rPr>
                <w:color w:val="111827"/>
                <w:sz w:val="17"/>
                <w:szCs w:val="17"/>
              </w:rPr>
              <w:t xml:space="preserve">$20K/mo ↓</w:t>
            </w:r>
          </w:p>
        </w:tc>
        <w:tc>
          <w:tcPr>
            <w:shd w:fill="F3F4F6" w:color="auto" w:val="clear"/>
          </w:tcPr>
          <w:p>
            <w:r>
              <w:rPr>
                <w:color w:val="111827"/>
                <w:sz w:val="17"/>
                <w:szCs w:val="17"/>
              </w:rPr>
              <w:t xml:space="preserve">CPE 14× benchmark; structural fit issue</w:t>
            </w:r>
          </w:p>
        </w:tc>
      </w:tr>
    </w:tbl>
    <w:p>
      <w:pPr>
        <w:spacing w:after="0" w:before="200"/>
      </w:pPr>
    </w:p>
    <w:p>
      <w:pPr>
        <w:pBdr>
          <w:bottom w:val="single" w:color="FF4655" w:sz="8" w:space="4"/>
        </w:pBdr>
        <w:spacing w:after="120" w:before="320"/>
      </w:pPr>
      <w:r>
        <w:rPr>
          <w:b/>
          <w:bCs/>
          <w:color w:val="FF4655"/>
          <w:sz w:val="30"/>
          <w:szCs w:val="30"/>
        </w:rPr>
        <w:t xml:space="preserve">6.  Methodology &amp; Known Limitations</w:t>
      </w:r>
    </w:p>
    <w:p>
      <w:pPr>
        <w:spacing w:after="80" w:before="60"/>
      </w:pPr>
      <w:r>
        <w:rPr>
          <w:color w:val="111827"/>
          <w:sz w:val="20"/>
          <w:szCs w:val="20"/>
        </w:rPr>
        <w:t xml:space="preserve">This section documents what the analysis can defend and where gaps exist. A rigorous measurement framework requires honesty about both.</w:t>
      </w:r>
    </w:p>
    <w:p>
      <w:pPr>
        <w:spacing w:after="80" w:before="200"/>
      </w:pPr>
      <w:r>
        <w:rPr>
          <w:b/>
          <w:bCs/>
          <w:color w:val="111827"/>
          <w:sz w:val="22"/>
          <w:szCs w:val="22"/>
        </w:rPr>
        <w:t xml:space="preserve">What This Analysis Can Defend</w:t>
      </w:r>
    </w:p>
    <w:p>
      <w:pPr>
        <w:pStyle w:val="ListParagraph"/>
        <w:numPr>
          <w:ilvl w:val="0"/>
          <w:numId w:val="1"/>
        </w:numPr>
        <w:spacing w:after="40" w:before="40"/>
      </w:pPr>
      <w:r>
        <w:rPr>
          <w:color w:val="111827"/>
          <w:sz w:val="19"/>
          <w:szCs w:val="19"/>
        </w:rPr>
        <w:t xml:space="preserve">Data is real: 112 videos pulled from YouTube Data API v3 (channels, search, videos endpoints). Reproducible via run_pipeline.py with a valid API key.</w:t>
      </w:r>
    </w:p>
    <w:p>
      <w:pPr>
        <w:pStyle w:val="ListParagraph"/>
        <w:numPr>
          <w:ilvl w:val="0"/>
          <w:numId w:val="1"/>
        </w:numPr>
        <w:spacing w:after="40" w:before="40"/>
      </w:pPr>
      <w:r>
        <w:rPr>
          <w:color w:val="111827"/>
          <w:sz w:val="19"/>
          <w:szCs w:val="19"/>
        </w:rPr>
        <w:t xml:space="preserve">Viral normalization is conservative: TenZ outlier excluded from ER baseline. Non-normalized data preserved in raw CSV. The 3.58% Q3 ER baseline is more accurate than the raw 4.51%.</w:t>
      </w:r>
    </w:p>
    <w:p>
      <w:pPr>
        <w:pStyle w:val="ListParagraph"/>
        <w:numPr>
          <w:ilvl w:val="0"/>
          <w:numId w:val="1"/>
        </w:numPr>
        <w:spacing w:after="40" w:before="40"/>
      </w:pPr>
      <w:r>
        <w:rPr>
          <w:color w:val="111827"/>
          <w:sz w:val="19"/>
          <w:szCs w:val="19"/>
        </w:rPr>
        <w:t xml:space="preserve">External context is valid: Google Trends values are relative (0–100 within the pull window). Used directionally to explain category headwind, not as absolute demand figures.</w:t>
      </w:r>
    </w:p>
    <w:p>
      <w:pPr>
        <w:pStyle w:val="ListParagraph"/>
        <w:numPr>
          <w:ilvl w:val="0"/>
          <w:numId w:val="1"/>
        </w:numPr>
        <w:spacing w:after="40" w:before="40"/>
      </w:pPr>
      <w:r>
        <w:rPr>
          <w:color w:val="111827"/>
          <w:sz w:val="19"/>
          <w:szCs w:val="19"/>
        </w:rPr>
        <w:t xml:space="preserve">Feature engineering is documented: QEI, Reach Index, Watch Time, CPE tiers — all defined in METHODOLOGY.md and implemented in run_pipeline.py.</w:t>
      </w:r>
    </w:p>
    <w:p>
      <w:pPr>
        <w:pStyle w:val="ListParagraph"/>
        <w:numPr>
          <w:ilvl w:val="0"/>
          <w:numId w:val="1"/>
        </w:numPr>
        <w:spacing w:after="40" w:before="40"/>
      </w:pPr>
      <w:r>
        <w:rPr>
          <w:color w:val="111827"/>
          <w:sz w:val="19"/>
          <w:szCs w:val="19"/>
        </w:rPr>
        <w:t xml:space="preserve">CPE tier thresholds are industry-standard: Efficient ≤$0.11, Acceptable ≤$0.25 per Influencer Marketing Hub 2024.</w:t>
      </w:r>
    </w:p>
    <w:p>
      <w:pPr>
        <w:spacing w:after="80" w:before="200"/>
      </w:pPr>
      <w:r>
        <w:rPr>
          <w:b/>
          <w:bCs/>
          <w:color w:val="B45309"/>
          <w:sz w:val="22"/>
          <w:szCs w:val="22"/>
        </w:rPr>
        <w:t xml:space="preserve">Known Limitations</w:t>
      </w:r>
    </w:p>
    <w:p>
      <w:pPr>
        <w:pStyle w:val="ListParagraph"/>
        <w:numPr>
          <w:ilvl w:val="0"/>
          <w:numId w:val="1"/>
        </w:numPr>
        <w:spacing w:after="40" w:before="40"/>
      </w:pPr>
      <w:r>
        <w:rPr>
          <w:color w:val="B45309"/>
          <w:sz w:val="19"/>
          <w:szCs w:val="19"/>
        </w:rPr>
        <w:t xml:space="preserve">CPE is modelled, not actual: Monthly spend figures ($7K–$28K) are estimated from public benchmarks, not real contracts. All CPE-dependent conclusions should be treated as directional until actual rates are available.</w:t>
      </w:r>
    </w:p>
    <w:p>
      <w:pPr>
        <w:pStyle w:val="ListParagraph"/>
        <w:numPr>
          <w:ilvl w:val="0"/>
          <w:numId w:val="1"/>
        </w:numPr>
        <w:spacing w:after="40" w:before="40"/>
      </w:pPr>
      <w:r>
        <w:rPr>
          <w:color w:val="B45309"/>
          <w:sz w:val="19"/>
          <w:szCs w:val="19"/>
        </w:rPr>
        <w:t xml:space="preserve">ΔER is not true incrementality: Period-over-period ER change (Q3→Q4) measures relative performance, not causal lift. True incrementality requires a holdout group, geo-split, or propensity score matching — none of which are available with public API data.</w:t>
      </w:r>
    </w:p>
    <w:p>
      <w:pPr>
        <w:pStyle w:val="ListParagraph"/>
        <w:numPr>
          <w:ilvl w:val="0"/>
          <w:numId w:val="1"/>
        </w:numPr>
        <w:spacing w:after="40" w:before="40"/>
      </w:pPr>
      <w:r>
        <w:rPr>
          <w:color w:val="B45309"/>
          <w:sz w:val="19"/>
          <w:szCs w:val="19"/>
        </w:rPr>
        <w:t xml:space="preserve">Watch time is modelled at 50% completion: Applied uniformly to Shorts and long-form alike. YouTube Shorts likely have completion rates above 90%; long-form rates vary by creator. Requires YouTube Studio access to validate.</w:t>
      </w:r>
    </w:p>
    <w:p>
      <w:pPr>
        <w:pStyle w:val="ListParagraph"/>
        <w:numPr>
          <w:ilvl w:val="0"/>
          <w:numId w:val="1"/>
        </w:numPr>
        <w:spacing w:after="40" w:before="40"/>
      </w:pPr>
      <w:r>
        <w:rPr>
          <w:color w:val="B45309"/>
          <w:sz w:val="19"/>
          <w:szCs w:val="19"/>
        </w:rPr>
        <w:t xml:space="preserve">Benchmarks are not tier-adjusted: The 3.87% global ER benchmark (Statista 2024) is applied uniformly. Macro-tier creators (1M–5M subs) have structurally lower ER expectations than Mid-tier. A Macro benchmark of ~2.5–3.0% would give a more accurate picture.</w:t>
      </w:r>
    </w:p>
    <w:p>
      <w:pPr>
        <w:pStyle w:val="ListParagraph"/>
        <w:numPr>
          <w:ilvl w:val="0"/>
          <w:numId w:val="1"/>
        </w:numPr>
        <w:spacing w:after="40" w:before="40"/>
      </w:pPr>
      <w:r>
        <w:rPr>
          <w:color w:val="B45309"/>
          <w:sz w:val="19"/>
          <w:szCs w:val="19"/>
        </w:rPr>
        <w:t xml:space="preserve">No lower-funnel signals: The consideration layer (CPE) measures engagement cost, not conversion cost. Link-in-bio clicks, discount code redemptions, and traffic attribution are not available in public API data.</w:t>
      </w:r>
    </w:p>
    <w:p>
      <w:pPr>
        <w:spacing w:after="0" w:before="280"/>
      </w:pPr>
    </w:p>
    <w:p>
      <w:pPr>
        <w:jc w:val="center"/>
      </w:pPr>
      <w:r>
        <w:rPr>
          <w:i/>
          <w:iCs/>
          <w:color w:val="6B7280"/>
          <w:sz w:val="16"/>
          <w:szCs w:val="16"/>
        </w:rPr>
        <w:t xml:space="preserve">Full methodology: METHODOLOGY.md  ·  Reusable framework: PLAYBOOK.md  ·  Replication: README.md  ·  GitHub: sachinjain2000/hardscope-assessment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2026-04-13T07:22:12.800Z</dcterms:created>
  <dcterms:modified xsi:type="dcterms:W3CDTF">2026-04-13T07:22:12.801Z</dcterms:modified>
</cp:coreProperties>
</file>

<file path=docProps/custom.xml><?xml version="1.0" encoding="utf-8"?>
<Properties xmlns="http://schemas.openxmlformats.org/officeDocument/2006/custom-properties" xmlns:vt="http://schemas.openxmlformats.org/officeDocument/2006/docPropsVTypes"/>
</file>