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A9A06" w14:textId="77777777" w:rsidR="007351F4" w:rsidRDefault="007351F4" w:rsidP="007351F4">
      <w:pPr>
        <w:jc w:val="center"/>
        <w:rPr>
          <w:b/>
          <w:bCs/>
          <w:sz w:val="40"/>
          <w:szCs w:val="40"/>
          <w:lang w:val="en-US"/>
        </w:rPr>
      </w:pPr>
      <w:r>
        <w:rPr>
          <w:b/>
          <w:bCs/>
          <w:sz w:val="40"/>
          <w:szCs w:val="40"/>
          <w:lang w:val="en-US"/>
        </w:rPr>
        <w:t>Telecom D</w:t>
      </w:r>
      <w:bookmarkStart w:id="0" w:name="_GoBack"/>
      <w:bookmarkEnd w:id="0"/>
      <w:r>
        <w:rPr>
          <w:b/>
          <w:bCs/>
          <w:sz w:val="40"/>
          <w:szCs w:val="40"/>
          <w:lang w:val="en-US"/>
        </w:rPr>
        <w:t>omain Notes</w:t>
      </w:r>
    </w:p>
    <w:p w14:paraId="5F73A4FB" w14:textId="77777777" w:rsidR="007351F4" w:rsidRDefault="007351F4" w:rsidP="007351F4">
      <w:pPr>
        <w:pStyle w:val="ListParagraph"/>
        <w:numPr>
          <w:ilvl w:val="0"/>
          <w:numId w:val="1"/>
        </w:numPr>
        <w:rPr>
          <w:b/>
          <w:bCs/>
          <w:sz w:val="28"/>
          <w:szCs w:val="28"/>
          <w:lang w:val="en-US"/>
        </w:rPr>
      </w:pPr>
      <w:r>
        <w:rPr>
          <w:b/>
          <w:bCs/>
          <w:sz w:val="28"/>
          <w:szCs w:val="28"/>
          <w:lang w:val="en-US"/>
        </w:rPr>
        <w:t>Introduction:</w:t>
      </w:r>
    </w:p>
    <w:p w14:paraId="728D11FD" w14:textId="77777777" w:rsidR="007351F4" w:rsidRDefault="007351F4" w:rsidP="007351F4">
      <w:pPr>
        <w:autoSpaceDE w:val="0"/>
        <w:autoSpaceDN w:val="0"/>
        <w:adjustRightInd w:val="0"/>
        <w:spacing w:after="0" w:line="360" w:lineRule="auto"/>
        <w:ind w:left="360"/>
        <w:rPr>
          <w:rFonts w:cs="DejaVuSans"/>
          <w:sz w:val="24"/>
          <w:szCs w:val="24"/>
          <w:lang w:bidi="mr-IN"/>
        </w:rPr>
      </w:pPr>
      <w:r>
        <w:rPr>
          <w:rFonts w:cs="DejaVuSans"/>
          <w:sz w:val="24"/>
          <w:szCs w:val="24"/>
          <w:lang w:bidi="mr-IN"/>
        </w:rPr>
        <w:t xml:space="preserve">Sending voice, data, picture, fax, etc., from one point to another using electronic media is termed as telecommunication and in short it terms as </w:t>
      </w:r>
      <w:r>
        <w:rPr>
          <w:rFonts w:cs="DejaVuSans-Bold"/>
          <w:b/>
          <w:bCs/>
          <w:sz w:val="24"/>
          <w:szCs w:val="24"/>
          <w:lang w:bidi="mr-IN"/>
        </w:rPr>
        <w:t>telecom</w:t>
      </w:r>
      <w:r>
        <w:rPr>
          <w:rFonts w:cs="DejaVuSans"/>
          <w:sz w:val="24"/>
          <w:szCs w:val="24"/>
          <w:lang w:bidi="mr-IN"/>
        </w:rPr>
        <w:t xml:space="preserve">. </w:t>
      </w:r>
    </w:p>
    <w:p w14:paraId="28F80AD3" w14:textId="77777777" w:rsidR="007351F4" w:rsidRDefault="007351F4" w:rsidP="007351F4">
      <w:pPr>
        <w:autoSpaceDE w:val="0"/>
        <w:autoSpaceDN w:val="0"/>
        <w:adjustRightInd w:val="0"/>
        <w:spacing w:after="0" w:line="360" w:lineRule="auto"/>
        <w:ind w:left="360"/>
        <w:rPr>
          <w:rFonts w:cs="DejaVuSans"/>
          <w:sz w:val="24"/>
          <w:szCs w:val="24"/>
          <w:lang w:bidi="mr-IN"/>
        </w:rPr>
      </w:pPr>
      <w:r>
        <w:rPr>
          <w:rFonts w:cs="DejaVuSans"/>
          <w:sz w:val="24"/>
          <w:szCs w:val="24"/>
          <w:lang w:bidi="mr-IN"/>
        </w:rPr>
        <w:t>Examples include Phone, Radio, Television and Internet.</w:t>
      </w:r>
    </w:p>
    <w:p w14:paraId="4EC41A7E" w14:textId="77777777" w:rsidR="007351F4" w:rsidRDefault="007351F4" w:rsidP="007351F4">
      <w:pPr>
        <w:autoSpaceDE w:val="0"/>
        <w:autoSpaceDN w:val="0"/>
        <w:adjustRightInd w:val="0"/>
        <w:spacing w:after="0" w:line="360" w:lineRule="auto"/>
        <w:ind w:left="360"/>
        <w:rPr>
          <w:rFonts w:cs="DejaVuSans"/>
          <w:sz w:val="24"/>
          <w:szCs w:val="24"/>
          <w:lang w:bidi="mr-IN"/>
        </w:rPr>
      </w:pPr>
    </w:p>
    <w:p w14:paraId="54392572" w14:textId="77777777" w:rsidR="007351F4" w:rsidRDefault="007351F4" w:rsidP="007351F4">
      <w:pPr>
        <w:pStyle w:val="ListParagraph"/>
        <w:numPr>
          <w:ilvl w:val="0"/>
          <w:numId w:val="1"/>
        </w:numPr>
        <w:autoSpaceDE w:val="0"/>
        <w:autoSpaceDN w:val="0"/>
        <w:adjustRightInd w:val="0"/>
        <w:spacing w:after="0" w:line="360" w:lineRule="auto"/>
        <w:rPr>
          <w:rFonts w:cs="DejaVuSans"/>
          <w:b/>
          <w:bCs/>
          <w:sz w:val="28"/>
          <w:szCs w:val="28"/>
          <w:lang w:bidi="mr-IN"/>
        </w:rPr>
      </w:pPr>
      <w:r>
        <w:rPr>
          <w:rFonts w:cs="DejaVuSans"/>
          <w:b/>
          <w:bCs/>
          <w:sz w:val="28"/>
          <w:szCs w:val="28"/>
          <w:lang w:bidi="mr-IN"/>
        </w:rPr>
        <w:t>Parts of Telecom Domain:</w:t>
      </w:r>
    </w:p>
    <w:p w14:paraId="2F5E5FCE" w14:textId="77777777" w:rsidR="007351F4" w:rsidRDefault="007351F4" w:rsidP="007351F4">
      <w:pPr>
        <w:pStyle w:val="ListParagraph"/>
        <w:numPr>
          <w:ilvl w:val="0"/>
          <w:numId w:val="2"/>
        </w:numPr>
        <w:autoSpaceDE w:val="0"/>
        <w:autoSpaceDN w:val="0"/>
        <w:adjustRightInd w:val="0"/>
        <w:spacing w:after="0" w:line="360" w:lineRule="auto"/>
        <w:rPr>
          <w:rFonts w:cs="DejaVuSans"/>
          <w:sz w:val="24"/>
          <w:szCs w:val="24"/>
          <w:lang w:bidi="mr-IN"/>
        </w:rPr>
      </w:pPr>
      <w:r>
        <w:rPr>
          <w:rFonts w:cs="DejaVuSans"/>
          <w:b/>
          <w:bCs/>
          <w:sz w:val="24"/>
          <w:szCs w:val="24"/>
          <w:lang w:bidi="mr-IN"/>
        </w:rPr>
        <w:t xml:space="preserve">Business Support </w:t>
      </w:r>
      <w:proofErr w:type="gramStart"/>
      <w:r>
        <w:rPr>
          <w:rFonts w:cs="DejaVuSans"/>
          <w:b/>
          <w:bCs/>
          <w:sz w:val="24"/>
          <w:szCs w:val="24"/>
          <w:lang w:bidi="mr-IN"/>
        </w:rPr>
        <w:t>System(</w:t>
      </w:r>
      <w:proofErr w:type="gramEnd"/>
      <w:r>
        <w:rPr>
          <w:rFonts w:cs="DejaVuSans"/>
          <w:b/>
          <w:bCs/>
          <w:sz w:val="24"/>
          <w:szCs w:val="24"/>
          <w:lang w:bidi="mr-IN"/>
        </w:rPr>
        <w:t>BSS)</w:t>
      </w:r>
      <w:r>
        <w:rPr>
          <w:rFonts w:cs="DejaVuSans"/>
          <w:sz w:val="24"/>
          <w:szCs w:val="24"/>
          <w:lang w:bidi="mr-IN"/>
        </w:rPr>
        <w:t xml:space="preserve"> : This domain takes care of all the needs of customer. That is, it is responsible for generation of bills, fulfilling additional requirements, addressing each of the customer queries, providing value added services to the end user etc.(# We work under BSS Domain)</w:t>
      </w:r>
    </w:p>
    <w:p w14:paraId="528E300F" w14:textId="77777777" w:rsidR="007351F4" w:rsidRDefault="007351F4" w:rsidP="007351F4">
      <w:pPr>
        <w:pStyle w:val="ListParagraph"/>
        <w:numPr>
          <w:ilvl w:val="0"/>
          <w:numId w:val="2"/>
        </w:numPr>
        <w:autoSpaceDE w:val="0"/>
        <w:autoSpaceDN w:val="0"/>
        <w:adjustRightInd w:val="0"/>
        <w:spacing w:after="0" w:line="360" w:lineRule="auto"/>
        <w:rPr>
          <w:rFonts w:cs="DejaVuSans"/>
          <w:sz w:val="24"/>
          <w:szCs w:val="24"/>
          <w:lang w:bidi="mr-IN"/>
        </w:rPr>
      </w:pPr>
      <w:r>
        <w:rPr>
          <w:rFonts w:cs="DejaVuSans"/>
          <w:b/>
          <w:bCs/>
          <w:sz w:val="24"/>
          <w:szCs w:val="24"/>
          <w:lang w:bidi="mr-IN"/>
        </w:rPr>
        <w:t xml:space="preserve">Operational Support </w:t>
      </w:r>
      <w:proofErr w:type="gramStart"/>
      <w:r>
        <w:rPr>
          <w:rFonts w:cs="DejaVuSans"/>
          <w:b/>
          <w:bCs/>
          <w:sz w:val="24"/>
          <w:szCs w:val="24"/>
          <w:lang w:bidi="mr-IN"/>
        </w:rPr>
        <w:t>System(</w:t>
      </w:r>
      <w:proofErr w:type="gramEnd"/>
      <w:r>
        <w:rPr>
          <w:rFonts w:cs="DejaVuSans"/>
          <w:b/>
          <w:bCs/>
          <w:sz w:val="24"/>
          <w:szCs w:val="24"/>
          <w:lang w:bidi="mr-IN"/>
        </w:rPr>
        <w:t>OSS):</w:t>
      </w:r>
      <w:r>
        <w:rPr>
          <w:rFonts w:cs="DejaVuSans"/>
          <w:sz w:val="24"/>
          <w:szCs w:val="24"/>
          <w:lang w:bidi="mr-IN"/>
        </w:rPr>
        <w:t xml:space="preserve"> This domain works on activating and deactivating the services for customers. Restoring the services etc.</w:t>
      </w:r>
    </w:p>
    <w:p w14:paraId="33D6A191" w14:textId="77777777" w:rsidR="007351F4" w:rsidRDefault="007351F4" w:rsidP="007351F4">
      <w:pPr>
        <w:autoSpaceDE w:val="0"/>
        <w:autoSpaceDN w:val="0"/>
        <w:adjustRightInd w:val="0"/>
        <w:spacing w:after="0" w:line="360" w:lineRule="auto"/>
        <w:rPr>
          <w:rFonts w:cs="DejaVuSans"/>
          <w:sz w:val="24"/>
          <w:szCs w:val="24"/>
          <w:lang w:bidi="mr-IN"/>
        </w:rPr>
      </w:pPr>
    </w:p>
    <w:p w14:paraId="4C0103A7" w14:textId="77777777" w:rsidR="007351F4" w:rsidRDefault="007351F4" w:rsidP="007351F4">
      <w:pPr>
        <w:pStyle w:val="ListParagraph"/>
        <w:numPr>
          <w:ilvl w:val="0"/>
          <w:numId w:val="1"/>
        </w:numPr>
        <w:autoSpaceDE w:val="0"/>
        <w:autoSpaceDN w:val="0"/>
        <w:adjustRightInd w:val="0"/>
        <w:spacing w:after="0" w:line="360" w:lineRule="auto"/>
        <w:rPr>
          <w:rFonts w:cs="DejaVuSans"/>
          <w:b/>
          <w:bCs/>
          <w:sz w:val="28"/>
          <w:szCs w:val="28"/>
          <w:lang w:bidi="mr-IN"/>
        </w:rPr>
      </w:pPr>
      <w:r>
        <w:rPr>
          <w:rFonts w:cs="DejaVuSans"/>
          <w:b/>
          <w:bCs/>
          <w:sz w:val="28"/>
          <w:szCs w:val="28"/>
          <w:lang w:bidi="mr-IN"/>
        </w:rPr>
        <w:t>Business Flow(the ways of revenue generation for service provider):</w:t>
      </w:r>
    </w:p>
    <w:p w14:paraId="5DF5FE8C" w14:textId="77777777" w:rsidR="007351F4" w:rsidRDefault="007351F4" w:rsidP="007351F4">
      <w:pPr>
        <w:pStyle w:val="ListParagraph"/>
        <w:autoSpaceDE w:val="0"/>
        <w:autoSpaceDN w:val="0"/>
        <w:adjustRightInd w:val="0"/>
        <w:spacing w:after="0" w:line="360" w:lineRule="auto"/>
        <w:rPr>
          <w:rFonts w:cs="DejaVuSans"/>
          <w:sz w:val="24"/>
          <w:szCs w:val="24"/>
          <w:lang w:bidi="mr-IN"/>
        </w:rPr>
      </w:pPr>
      <w:r>
        <w:rPr>
          <w:rFonts w:cs="DejaVuSans"/>
          <w:sz w:val="24"/>
          <w:szCs w:val="24"/>
          <w:lang w:bidi="mr-IN"/>
        </w:rPr>
        <w:t>Telecom operators charge their customers in multiple ways, some of the ways are listed below:</w:t>
      </w:r>
    </w:p>
    <w:p w14:paraId="41333BBE" w14:textId="77777777" w:rsidR="007351F4" w:rsidRDefault="007351F4" w:rsidP="007351F4">
      <w:pPr>
        <w:pStyle w:val="ListParagraph"/>
        <w:numPr>
          <w:ilvl w:val="0"/>
          <w:numId w:val="3"/>
        </w:numPr>
        <w:autoSpaceDE w:val="0"/>
        <w:autoSpaceDN w:val="0"/>
        <w:adjustRightInd w:val="0"/>
        <w:spacing w:after="0" w:line="360" w:lineRule="auto"/>
        <w:rPr>
          <w:rFonts w:cs="DejaVuSans"/>
          <w:sz w:val="24"/>
          <w:szCs w:val="24"/>
          <w:lang w:bidi="mr-IN"/>
        </w:rPr>
      </w:pPr>
      <w:r>
        <w:rPr>
          <w:rFonts w:cs="DejaVuSans"/>
          <w:sz w:val="24"/>
          <w:szCs w:val="24"/>
          <w:lang w:bidi="mr-IN"/>
        </w:rPr>
        <w:t>One Time Charge: Charged once at the time of connection.</w:t>
      </w:r>
    </w:p>
    <w:p w14:paraId="6587BDAA" w14:textId="77777777" w:rsidR="007351F4" w:rsidRDefault="007351F4" w:rsidP="007351F4">
      <w:pPr>
        <w:pStyle w:val="ListParagraph"/>
        <w:numPr>
          <w:ilvl w:val="0"/>
          <w:numId w:val="3"/>
        </w:numPr>
        <w:autoSpaceDE w:val="0"/>
        <w:autoSpaceDN w:val="0"/>
        <w:adjustRightInd w:val="0"/>
        <w:spacing w:after="0" w:line="360" w:lineRule="auto"/>
        <w:rPr>
          <w:rFonts w:cs="DejaVuSans"/>
          <w:sz w:val="24"/>
          <w:szCs w:val="24"/>
          <w:lang w:bidi="mr-IN"/>
        </w:rPr>
      </w:pPr>
      <w:r>
        <w:rPr>
          <w:rFonts w:cs="DejaVuSans"/>
          <w:sz w:val="24"/>
          <w:szCs w:val="24"/>
          <w:lang w:bidi="mr-IN"/>
        </w:rPr>
        <w:t>Rental Charges: These are the charges taken from the customers on monthly basis against a service provided. For example, your telephone monthly charges would be Rs 499 regardless you use it or not.</w:t>
      </w:r>
    </w:p>
    <w:p w14:paraId="23841434" w14:textId="77777777" w:rsidR="007351F4" w:rsidRDefault="007351F4" w:rsidP="007351F4">
      <w:pPr>
        <w:pStyle w:val="ListParagraph"/>
        <w:numPr>
          <w:ilvl w:val="0"/>
          <w:numId w:val="3"/>
        </w:numPr>
        <w:autoSpaceDE w:val="0"/>
        <w:autoSpaceDN w:val="0"/>
        <w:adjustRightInd w:val="0"/>
        <w:spacing w:after="0" w:line="360" w:lineRule="auto"/>
        <w:rPr>
          <w:rFonts w:cs="DejaVuSans"/>
          <w:sz w:val="24"/>
          <w:szCs w:val="24"/>
          <w:lang w:bidi="mr-IN"/>
        </w:rPr>
      </w:pPr>
      <w:r>
        <w:rPr>
          <w:rFonts w:cs="DejaVuSans"/>
          <w:sz w:val="24"/>
          <w:szCs w:val="24"/>
          <w:lang w:bidi="mr-IN"/>
        </w:rPr>
        <w:t>Value added service Charge: If any extra services are subscribed, then these charges are charged.</w:t>
      </w:r>
    </w:p>
    <w:p w14:paraId="1D07C285" w14:textId="77777777" w:rsidR="007351F4" w:rsidRDefault="007351F4" w:rsidP="007351F4">
      <w:pPr>
        <w:pStyle w:val="ListParagraph"/>
        <w:numPr>
          <w:ilvl w:val="0"/>
          <w:numId w:val="3"/>
        </w:numPr>
        <w:autoSpaceDE w:val="0"/>
        <w:autoSpaceDN w:val="0"/>
        <w:adjustRightInd w:val="0"/>
        <w:spacing w:after="0" w:line="360" w:lineRule="auto"/>
        <w:rPr>
          <w:rFonts w:cs="DejaVuSans"/>
          <w:sz w:val="24"/>
          <w:szCs w:val="24"/>
          <w:lang w:bidi="mr-IN"/>
        </w:rPr>
      </w:pPr>
      <w:r>
        <w:rPr>
          <w:rFonts w:cs="DejaVuSans"/>
          <w:sz w:val="24"/>
          <w:szCs w:val="24"/>
          <w:lang w:bidi="mr-IN"/>
        </w:rPr>
        <w:t>Usage charge: Depending upon the use of services these charges are taken</w:t>
      </w:r>
    </w:p>
    <w:p w14:paraId="4DBE2190" w14:textId="77777777" w:rsidR="007351F4" w:rsidRDefault="007351F4" w:rsidP="007351F4">
      <w:pPr>
        <w:pStyle w:val="ListParagraph"/>
        <w:numPr>
          <w:ilvl w:val="0"/>
          <w:numId w:val="3"/>
        </w:numPr>
        <w:autoSpaceDE w:val="0"/>
        <w:autoSpaceDN w:val="0"/>
        <w:adjustRightInd w:val="0"/>
        <w:spacing w:after="0" w:line="360" w:lineRule="auto"/>
        <w:rPr>
          <w:rFonts w:cs="DejaVuSans"/>
          <w:sz w:val="24"/>
          <w:szCs w:val="24"/>
          <w:lang w:bidi="mr-IN"/>
        </w:rPr>
      </w:pPr>
      <w:r>
        <w:rPr>
          <w:rFonts w:cs="DejaVuSans"/>
          <w:sz w:val="24"/>
          <w:szCs w:val="24"/>
          <w:lang w:bidi="mr-IN"/>
        </w:rPr>
        <w:t>Roaming charge</w:t>
      </w:r>
    </w:p>
    <w:p w14:paraId="121A6277" w14:textId="77777777" w:rsidR="007351F4" w:rsidRDefault="007351F4" w:rsidP="007351F4">
      <w:pPr>
        <w:pStyle w:val="ListParagraph"/>
        <w:numPr>
          <w:ilvl w:val="0"/>
          <w:numId w:val="3"/>
        </w:numPr>
        <w:autoSpaceDE w:val="0"/>
        <w:autoSpaceDN w:val="0"/>
        <w:adjustRightInd w:val="0"/>
        <w:spacing w:after="0" w:line="360" w:lineRule="auto"/>
        <w:rPr>
          <w:rFonts w:cs="DejaVuSans"/>
          <w:sz w:val="24"/>
          <w:szCs w:val="24"/>
          <w:lang w:bidi="mr-IN"/>
        </w:rPr>
      </w:pPr>
      <w:r>
        <w:rPr>
          <w:rFonts w:cs="DejaVuSans"/>
          <w:sz w:val="24"/>
          <w:szCs w:val="24"/>
          <w:lang w:bidi="mr-IN"/>
        </w:rPr>
        <w:t>Service Tax</w:t>
      </w:r>
    </w:p>
    <w:p w14:paraId="194017D8" w14:textId="77777777" w:rsidR="007351F4" w:rsidRDefault="007351F4" w:rsidP="007351F4">
      <w:pPr>
        <w:pStyle w:val="ListParagraph"/>
        <w:numPr>
          <w:ilvl w:val="0"/>
          <w:numId w:val="3"/>
        </w:numPr>
        <w:autoSpaceDE w:val="0"/>
        <w:autoSpaceDN w:val="0"/>
        <w:adjustRightInd w:val="0"/>
        <w:spacing w:after="0" w:line="360" w:lineRule="auto"/>
        <w:rPr>
          <w:rFonts w:cs="DejaVuSans"/>
          <w:sz w:val="24"/>
          <w:szCs w:val="24"/>
          <w:lang w:bidi="mr-IN"/>
        </w:rPr>
      </w:pPr>
      <w:r>
        <w:rPr>
          <w:rFonts w:cs="DejaVuSans"/>
          <w:sz w:val="24"/>
          <w:szCs w:val="24"/>
          <w:lang w:bidi="mr-IN"/>
        </w:rPr>
        <w:t>Documentation Charge</w:t>
      </w:r>
    </w:p>
    <w:p w14:paraId="4ADF7E2D" w14:textId="77777777" w:rsidR="007351F4" w:rsidRDefault="007351F4" w:rsidP="007351F4">
      <w:pPr>
        <w:pStyle w:val="ListParagraph"/>
        <w:numPr>
          <w:ilvl w:val="0"/>
          <w:numId w:val="3"/>
        </w:numPr>
        <w:autoSpaceDE w:val="0"/>
        <w:autoSpaceDN w:val="0"/>
        <w:adjustRightInd w:val="0"/>
        <w:spacing w:after="0" w:line="360" w:lineRule="auto"/>
        <w:rPr>
          <w:rFonts w:cs="DejaVuSans"/>
          <w:sz w:val="24"/>
          <w:szCs w:val="24"/>
          <w:lang w:bidi="mr-IN"/>
        </w:rPr>
      </w:pPr>
      <w:r>
        <w:rPr>
          <w:rFonts w:cs="DejaVuSans"/>
          <w:sz w:val="24"/>
          <w:szCs w:val="24"/>
          <w:lang w:bidi="mr-IN"/>
        </w:rPr>
        <w:t>SMS Charge</w:t>
      </w:r>
    </w:p>
    <w:p w14:paraId="7AF873D6" w14:textId="77777777" w:rsidR="007351F4" w:rsidRDefault="007351F4" w:rsidP="007351F4">
      <w:pPr>
        <w:autoSpaceDE w:val="0"/>
        <w:autoSpaceDN w:val="0"/>
        <w:adjustRightInd w:val="0"/>
        <w:spacing w:after="0" w:line="360" w:lineRule="auto"/>
        <w:rPr>
          <w:rFonts w:cs="DejaVuSans"/>
          <w:sz w:val="24"/>
          <w:szCs w:val="24"/>
          <w:lang w:bidi="mr-IN"/>
        </w:rPr>
      </w:pPr>
    </w:p>
    <w:p w14:paraId="2880E3BC" w14:textId="77777777" w:rsidR="007351F4" w:rsidRDefault="007351F4" w:rsidP="007351F4">
      <w:pPr>
        <w:pStyle w:val="ListParagraph"/>
        <w:numPr>
          <w:ilvl w:val="0"/>
          <w:numId w:val="1"/>
        </w:numPr>
        <w:autoSpaceDE w:val="0"/>
        <w:autoSpaceDN w:val="0"/>
        <w:adjustRightInd w:val="0"/>
        <w:spacing w:after="0" w:line="360" w:lineRule="auto"/>
        <w:rPr>
          <w:rFonts w:cs="DejaVuSans"/>
          <w:b/>
          <w:bCs/>
          <w:sz w:val="28"/>
          <w:szCs w:val="28"/>
          <w:lang w:bidi="mr-IN"/>
        </w:rPr>
      </w:pPr>
      <w:r>
        <w:rPr>
          <w:rFonts w:cs="DejaVuSans"/>
          <w:b/>
          <w:bCs/>
          <w:sz w:val="28"/>
          <w:szCs w:val="28"/>
          <w:lang w:bidi="mr-IN"/>
        </w:rPr>
        <w:t>Different Ways of Billing:</w:t>
      </w:r>
    </w:p>
    <w:p w14:paraId="73AD7B09" w14:textId="77777777" w:rsidR="007351F4" w:rsidRDefault="007351F4" w:rsidP="007351F4">
      <w:pPr>
        <w:pStyle w:val="ListParagraph"/>
        <w:numPr>
          <w:ilvl w:val="0"/>
          <w:numId w:val="4"/>
        </w:numPr>
        <w:autoSpaceDE w:val="0"/>
        <w:autoSpaceDN w:val="0"/>
        <w:adjustRightInd w:val="0"/>
        <w:spacing w:after="0" w:line="360" w:lineRule="auto"/>
        <w:rPr>
          <w:rFonts w:ascii="DejaVuSans" w:hAnsi="DejaVuSans" w:cs="DejaVuSans"/>
          <w:sz w:val="21"/>
          <w:szCs w:val="21"/>
          <w:lang w:bidi="mr-IN"/>
        </w:rPr>
      </w:pPr>
      <w:r>
        <w:rPr>
          <w:rFonts w:cs="DejaVuSans"/>
          <w:sz w:val="24"/>
          <w:szCs w:val="24"/>
          <w:lang w:bidi="mr-IN"/>
        </w:rPr>
        <w:lastRenderedPageBreak/>
        <w:t xml:space="preserve">Pre-pay </w:t>
      </w:r>
      <w:proofErr w:type="gramStart"/>
      <w:r>
        <w:rPr>
          <w:rFonts w:cs="DejaVuSans"/>
          <w:sz w:val="24"/>
          <w:szCs w:val="24"/>
          <w:lang w:bidi="mr-IN"/>
        </w:rPr>
        <w:t>Billing :</w:t>
      </w:r>
      <w:proofErr w:type="gramEnd"/>
      <w:r>
        <w:rPr>
          <w:rFonts w:cs="DejaVuSans"/>
          <w:sz w:val="24"/>
          <w:szCs w:val="24"/>
          <w:lang w:bidi="mr-IN"/>
        </w:rPr>
        <w:t xml:space="preserve"> where customer pays in advance and after that starts using a service. Usually, prepaid customers do not receive any invoice and they are charged in real time.</w:t>
      </w:r>
    </w:p>
    <w:p w14:paraId="6155FD02" w14:textId="77777777" w:rsidR="007351F4" w:rsidRDefault="007351F4" w:rsidP="007351F4">
      <w:pPr>
        <w:pStyle w:val="ListParagraph"/>
        <w:numPr>
          <w:ilvl w:val="0"/>
          <w:numId w:val="4"/>
        </w:numPr>
        <w:autoSpaceDE w:val="0"/>
        <w:autoSpaceDN w:val="0"/>
        <w:adjustRightInd w:val="0"/>
        <w:spacing w:after="0" w:line="360" w:lineRule="auto"/>
        <w:rPr>
          <w:rFonts w:ascii="DejaVuSans" w:hAnsi="DejaVuSans" w:cs="DejaVuSans"/>
          <w:sz w:val="21"/>
          <w:szCs w:val="21"/>
          <w:lang w:bidi="mr-IN"/>
        </w:rPr>
      </w:pPr>
      <w:r>
        <w:rPr>
          <w:rFonts w:cs="DejaVuSans"/>
          <w:sz w:val="24"/>
          <w:szCs w:val="24"/>
          <w:lang w:bidi="mr-IN"/>
        </w:rPr>
        <w:t>Post pay Billing: Here, customers buy products and services and use them throughout the month, and by end of the month, invoices are generated by the service provider and sent those invoices to the customers to make their due payment.</w:t>
      </w:r>
    </w:p>
    <w:p w14:paraId="3AD80F91" w14:textId="77777777" w:rsidR="007351F4" w:rsidRDefault="007351F4" w:rsidP="007351F4">
      <w:pPr>
        <w:pStyle w:val="ListParagraph"/>
        <w:numPr>
          <w:ilvl w:val="0"/>
          <w:numId w:val="4"/>
        </w:numPr>
        <w:autoSpaceDE w:val="0"/>
        <w:autoSpaceDN w:val="0"/>
        <w:adjustRightInd w:val="0"/>
        <w:spacing w:after="0" w:line="360" w:lineRule="auto"/>
        <w:rPr>
          <w:rFonts w:ascii="DejaVuSans" w:hAnsi="DejaVuSans" w:cs="DejaVuSans"/>
          <w:sz w:val="21"/>
          <w:szCs w:val="21"/>
          <w:lang w:bidi="mr-IN"/>
        </w:rPr>
      </w:pPr>
      <w:r>
        <w:rPr>
          <w:rFonts w:cs="DejaVuSans"/>
          <w:sz w:val="24"/>
          <w:szCs w:val="24"/>
          <w:lang w:bidi="mr-IN"/>
        </w:rPr>
        <w:t>Interconnect Billing: The network operator is usually financially responsible for services provided to its customers by other networks regardless of whether or not the customer pays for the service.</w:t>
      </w:r>
    </w:p>
    <w:p w14:paraId="0DD9FF5A" w14:textId="77777777" w:rsidR="007351F4" w:rsidRDefault="007351F4" w:rsidP="007351F4">
      <w:pPr>
        <w:pStyle w:val="ListParagraph"/>
        <w:numPr>
          <w:ilvl w:val="0"/>
          <w:numId w:val="4"/>
        </w:numPr>
        <w:autoSpaceDE w:val="0"/>
        <w:autoSpaceDN w:val="0"/>
        <w:adjustRightInd w:val="0"/>
        <w:spacing w:after="0" w:line="360" w:lineRule="auto"/>
        <w:rPr>
          <w:rFonts w:ascii="DejaVuSans" w:hAnsi="DejaVuSans" w:cs="DejaVuSans"/>
          <w:sz w:val="21"/>
          <w:szCs w:val="21"/>
          <w:lang w:bidi="mr-IN"/>
        </w:rPr>
      </w:pPr>
      <w:r>
        <w:rPr>
          <w:rFonts w:cs="DejaVuSans"/>
          <w:sz w:val="24"/>
          <w:szCs w:val="24"/>
          <w:lang w:bidi="mr-IN"/>
        </w:rPr>
        <w:t xml:space="preserve">Roaming Charges: When a customer goes from one network operator's coverage area to another operator's coverage area, first operator would pay marginal charges to second operator to provide services to their customers. Such </w:t>
      </w:r>
      <w:proofErr w:type="gramStart"/>
      <w:r>
        <w:rPr>
          <w:rFonts w:cs="DejaVuSans"/>
          <w:sz w:val="24"/>
          <w:szCs w:val="24"/>
          <w:lang w:bidi="mr-IN"/>
        </w:rPr>
        <w:t>type of charges are</w:t>
      </w:r>
      <w:proofErr w:type="gramEnd"/>
      <w:r>
        <w:rPr>
          <w:rFonts w:cs="DejaVuSans"/>
          <w:sz w:val="24"/>
          <w:szCs w:val="24"/>
          <w:lang w:bidi="mr-IN"/>
        </w:rPr>
        <w:t xml:space="preserve"> settled through roaming billing.</w:t>
      </w:r>
    </w:p>
    <w:p w14:paraId="7F25D2B8" w14:textId="77777777" w:rsidR="007351F4" w:rsidRDefault="007351F4" w:rsidP="007351F4">
      <w:pPr>
        <w:pStyle w:val="ListParagraph"/>
        <w:numPr>
          <w:ilvl w:val="0"/>
          <w:numId w:val="4"/>
        </w:numPr>
        <w:autoSpaceDE w:val="0"/>
        <w:autoSpaceDN w:val="0"/>
        <w:adjustRightInd w:val="0"/>
        <w:spacing w:after="0" w:line="360" w:lineRule="auto"/>
        <w:rPr>
          <w:rFonts w:ascii="DejaVuSans" w:hAnsi="DejaVuSans" w:cs="DejaVuSans"/>
          <w:sz w:val="21"/>
          <w:szCs w:val="21"/>
          <w:lang w:bidi="mr-IN"/>
        </w:rPr>
      </w:pPr>
      <w:r>
        <w:rPr>
          <w:rFonts w:cs="DejaVuSans"/>
          <w:sz w:val="24"/>
          <w:szCs w:val="24"/>
          <w:lang w:bidi="mr-IN"/>
        </w:rPr>
        <w:t>Convergent Billing: Convergent billing is the integration of all service charges onto a single customer invoice.</w:t>
      </w:r>
    </w:p>
    <w:p w14:paraId="6911D16E" w14:textId="77777777" w:rsidR="007351F4" w:rsidRDefault="007351F4" w:rsidP="007351F4">
      <w:pPr>
        <w:autoSpaceDE w:val="0"/>
        <w:autoSpaceDN w:val="0"/>
        <w:adjustRightInd w:val="0"/>
        <w:spacing w:after="0" w:line="360" w:lineRule="auto"/>
        <w:rPr>
          <w:rFonts w:ascii="DejaVuSans" w:hAnsi="DejaVuSans" w:cs="DejaVuSans"/>
          <w:sz w:val="21"/>
          <w:szCs w:val="21"/>
          <w:lang w:bidi="mr-IN"/>
        </w:rPr>
      </w:pPr>
    </w:p>
    <w:p w14:paraId="6B9C5B13" w14:textId="77777777" w:rsidR="007351F4" w:rsidRDefault="007351F4" w:rsidP="007351F4">
      <w:pPr>
        <w:pStyle w:val="ListParagraph"/>
        <w:numPr>
          <w:ilvl w:val="0"/>
          <w:numId w:val="1"/>
        </w:numPr>
        <w:autoSpaceDE w:val="0"/>
        <w:autoSpaceDN w:val="0"/>
        <w:adjustRightInd w:val="0"/>
        <w:spacing w:after="0" w:line="360" w:lineRule="auto"/>
        <w:rPr>
          <w:rFonts w:cs="DejaVuSans"/>
          <w:b/>
          <w:bCs/>
          <w:sz w:val="28"/>
          <w:szCs w:val="28"/>
          <w:lang w:bidi="mr-IN"/>
        </w:rPr>
      </w:pPr>
      <w:r>
        <w:rPr>
          <w:rFonts w:cs="DejaVuSans"/>
          <w:b/>
          <w:bCs/>
          <w:sz w:val="28"/>
          <w:szCs w:val="28"/>
          <w:lang w:bidi="mr-IN"/>
        </w:rPr>
        <w:t>Billing Systems:</w:t>
      </w:r>
    </w:p>
    <w:p w14:paraId="685EDA3E" w14:textId="77777777" w:rsidR="007351F4" w:rsidRDefault="007351F4" w:rsidP="007351F4">
      <w:pPr>
        <w:pStyle w:val="ListParagraph"/>
        <w:autoSpaceDE w:val="0"/>
        <w:autoSpaceDN w:val="0"/>
        <w:adjustRightInd w:val="0"/>
        <w:spacing w:after="0" w:line="360" w:lineRule="auto"/>
        <w:rPr>
          <w:rFonts w:cs="DejaVuSans"/>
          <w:sz w:val="24"/>
          <w:szCs w:val="24"/>
          <w:lang w:bidi="mr-IN"/>
        </w:rPr>
      </w:pPr>
      <w:r>
        <w:rPr>
          <w:rFonts w:cs="DejaVuSans"/>
          <w:sz w:val="24"/>
          <w:szCs w:val="24"/>
          <w:lang w:bidi="mr-IN"/>
        </w:rPr>
        <w:t>Keeping track of all the billings and services would be very difficult manually, so a billing system is used which provides flexibility to both the service providers and customers.</w:t>
      </w:r>
    </w:p>
    <w:p w14:paraId="63F208CA" w14:textId="77777777" w:rsidR="00BD3CCD" w:rsidRDefault="00BD3CCD"/>
    <w:sectPr w:rsidR="00BD3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Sans">
    <w:altName w:val="Calibri"/>
    <w:panose1 w:val="00000000000000000000"/>
    <w:charset w:val="00"/>
    <w:family w:val="auto"/>
    <w:notTrueType/>
    <w:pitch w:val="default"/>
    <w:sig w:usb0="00000003" w:usb1="00000000" w:usb2="00000000" w:usb3="00000000" w:csb0="00000001" w:csb1="00000000"/>
  </w:font>
  <w:font w:name="DejaVu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3B60"/>
    <w:multiLevelType w:val="hybridMultilevel"/>
    <w:tmpl w:val="442A8B60"/>
    <w:lvl w:ilvl="0" w:tplc="5E78BE12">
      <w:start w:val="1"/>
      <w:numFmt w:val="decimal"/>
      <w:lvlText w:val="%1."/>
      <w:lvlJc w:val="left"/>
      <w:pPr>
        <w:ind w:left="720" w:hanging="360"/>
      </w:pPr>
      <w:rPr>
        <w:rFonts w:asciiTheme="minorHAnsi" w:hAnsiTheme="minorHAnsi" w:cs="Times New Roman" w:hint="default"/>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2577485"/>
    <w:multiLevelType w:val="hybridMultilevel"/>
    <w:tmpl w:val="96B0714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14FE79D8"/>
    <w:multiLevelType w:val="hybridMultilevel"/>
    <w:tmpl w:val="540A70F0"/>
    <w:lvl w:ilvl="0" w:tplc="FC5AA6F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nsid w:val="3E1A2BCE"/>
    <w:multiLevelType w:val="hybridMultilevel"/>
    <w:tmpl w:val="83E8FBA0"/>
    <w:lvl w:ilvl="0" w:tplc="C138071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3FB"/>
    <w:rsid w:val="001243E9"/>
    <w:rsid w:val="004703FB"/>
    <w:rsid w:val="007351F4"/>
    <w:rsid w:val="00BD3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1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Shravani Pensalwar</dc:creator>
  <cp:lastModifiedBy>Swami Samartha</cp:lastModifiedBy>
  <cp:revision>2</cp:revision>
  <dcterms:created xsi:type="dcterms:W3CDTF">2021-11-10T06:35:00Z</dcterms:created>
  <dcterms:modified xsi:type="dcterms:W3CDTF">2021-11-10T06:35:00Z</dcterms:modified>
</cp:coreProperties>
</file>