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Marketing Agency Platform —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7034"/>
      </w:tblGrid>
      <w:tr>
        <w:trPr>
          <w:cantSplit/>
          <w:tblHeader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Approved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Sachin Tripathi, platform owner, on 2026-10-04 ("tech-stack approved"). The approval covers the two changes of tool and the exceptions in section 3.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Sachin Tripathi (platform owner)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Code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Canonical source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docs/tech-stack/2026-10-04-tech-stack.md</w:t>
            </w:r>
            <w:r>
              <w:rPr>
                <w:sz w:val="20"/>
                <w:szCs w:val="20"/>
              </w:rPr>
              <w:t xml:space="preserve">. The Word file is generated from it.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Based on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Architecture version 2 (approved), Phase 1 spec version 3 (approved), App flow version 2 (approved)</w:t>
            </w:r>
          </w:p>
        </w:tc>
      </w:tr>
      <w:tr>
        <w:trPr>
          <w:cantSplit/>
          <w:tblHeader w:val="off"/>
        </w:trPr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Owner's instruction</w:t>
            </w:r>
          </w:p>
        </w:tc>
        <w:tc>
          <w:tcPr>
            <w:tcW w:type="dxa" w:w="7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"Choose the most stable, widely-used option for each job — not the newest."</w:t>
            </w:r>
          </w:p>
        </w:tc>
      </w:tr>
    </w:tbl>
    <w:p/>
    <w:p>
      <w:pPr>
        <w:pStyle w:val="Heading2"/>
        <w:keepNext/>
      </w:pPr>
      <w:r>
        <w:t xml:space="preserve">Contents</w:t>
      </w:r>
    </w:p>
    <w:p>
      <w:pPr>
        <w:spacing w:after="40"/>
      </w:pPr>
      <w:hyperlink w:history="1" w:anchor="h_c842b73a18">
        <w:r>
          <w:rPr>
            <w:color w:val="2F5496"/>
          </w:rPr>
          <w:t xml:space="preserve">1. How each choice was made</w:t>
        </w:r>
      </w:hyperlink>
    </w:p>
    <w:p>
      <w:pPr>
        <w:spacing w:after="40"/>
      </w:pPr>
      <w:hyperlink w:history="1" w:anchor="h_40022b3437">
        <w:r>
          <w:rPr>
            <w:color w:val="2F5496"/>
          </w:rPr>
          <w:t xml:space="preserve">2. The stack</w:t>
        </w:r>
      </w:hyperlink>
    </w:p>
    <w:p>
      <w:pPr>
        <w:spacing w:after="40"/>
      </w:pPr>
      <w:hyperlink w:history="1" w:anchor="h_b1f8335907">
        <w:r>
          <w:rPr>
            <w:color w:val="2F5496"/>
          </w:rPr>
          <w:t xml:space="preserve">3. Where a choice does not fully meet the rules</w:t>
        </w:r>
      </w:hyperlink>
    </w:p>
    <w:p>
      <w:pPr>
        <w:spacing w:after="40"/>
      </w:pPr>
      <w:hyperlink w:history="1" w:anchor="h_ee16623443">
        <w:r>
          <w:rPr>
            <w:color w:val="2F5496"/>
          </w:rPr>
          <w:t xml:space="preserve">4. What this changes in the approved Phase 1 spec</w:t>
        </w:r>
      </w:hyperlink>
    </w:p>
    <w:p>
      <w:pPr>
        <w:spacing w:after="40"/>
      </w:pPr>
      <w:hyperlink w:history="1" w:anchor="h_157b5db281">
        <w:r>
          <w:rPr>
            <w:color w:val="2F5496"/>
          </w:rPr>
          <w:t xml:space="preserve">5. Not chosen yet</w:t>
        </w:r>
      </w:hyperlink>
    </w:p>
    <w:p>
      <w:pPr>
        <w:spacing w:after="40"/>
      </w:pPr>
      <w:hyperlink w:history="1" w:anchor="h_b2ffc0cf9d">
        <w:r>
          <w:rPr>
            <w:color w:val="2F5496"/>
          </w:rPr>
          <w:t xml:space="preserve">6. Keeping it stable</w:t>
        </w:r>
      </w:hyperlink>
    </w:p>
    <w:p>
      <w:pPr>
        <w:spacing w:after="40"/>
      </w:pPr>
      <w:hyperlink w:history="1" w:anchor="h_95d85ee636">
        <w:r>
          <w:rPr>
            <w:color w:val="2F5496"/>
          </w:rPr>
          <w:t xml:space="preserve">7. Points for the owner</w:t>
        </w:r>
      </w:hyperlink>
    </w:p>
    <w:p/>
    <w:p>
      <w:pPr>
        <w:pStyle w:val="Heading2"/>
        <w:keepNext/>
      </w:pPr>
      <w:bookmarkStart w:name="h_c842b73a18" w:id="1"/>
      <w:r>
        <w:t xml:space="preserve">1. How each choice was made</w:t>
      </w:r>
      <w:bookmarkEnd w:id="1"/>
    </w:p>
    <w:p>
      <w:pPr>
        <w:spacing w:after="120"/>
      </w:pPr>
      <w:r>
        <w:t xml:space="preserve">Every figure in this document was looked up on 2026-10-04: weekly downloads and release dates from the npm registry, runtime releases from nodejs.org, database releases from postgresql.org. Nothing is from memory.</w:t>
      </w:r>
    </w:p>
    <w:p>
      <w:pPr>
        <w:spacing w:after="120"/>
      </w:pPr>
      <w:r>
        <w:rPr>
          <w:b/>
          <w:bCs/>
        </w:rPr>
        <w:t xml:space="preserve">Rules applied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Most widely used tool for the job</w:t>
      </w:r>
      <w:r>
        <w:t xml:space="preserve">, measured by weekly downloads, unless an approved architecture decision rules it 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major version that has been out for about a year or more.</w:t>
      </w:r>
      <w:r>
        <w:t xml:space="preserve"> Where the newest major is younger than that, the previous one is used.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release younger than 30 days.</w:t>
      </w:r>
      <w:r>
        <w:t xml:space="preserve"> The pinned version is the newest release in the chosen major that was at least 30 days old on 2026-10-04.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fixes are the exception to rule 3.</w:t>
      </w:r>
      <w:r>
        <w:t xml:space="preserve"> A security patch is taken as soon as it has been reviewed and the tests pass.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Fewer moving parts.</w:t>
      </w:r>
      <w:r>
        <w:t xml:space="preserve"> Where a tool that already ships with something we use does the job, no extra tool is added.</w:t>
      </w:r>
    </w:p>
    <w:p>
      <w:pPr>
        <w:spacing w:after="120"/>
      </w:pPr>
      <w:r>
        <w:t xml:space="preserve">Section 3 lists every place where a choice does not fully meet these rules, and why.</w:t>
      </w:r>
    </w:p>
    <w:p>
      <w:pPr>
        <w:pStyle w:val="Heading2"/>
        <w:keepNext/>
      </w:pPr>
      <w:bookmarkStart w:name="h_40022b3437" w:id="2"/>
      <w:r>
        <w:t xml:space="preserve">2. The stack</w:t>
      </w:r>
      <w:bookmarkEnd w:id="2"/>
    </w:p>
    <w:p>
      <w:pPr>
        <w:pStyle w:val="Heading3"/>
        <w:keepNext/>
      </w:pPr>
      <w:r>
        <w:t xml:space="preserve">2.1 Runtime and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8"/>
        <w:gridCol w:w="2215"/>
        <w:gridCol w:w="1068"/>
        <w:gridCol w:w="1692"/>
        <w:gridCol w:w="3187"/>
      </w:tblGrid>
      <w:tr>
        <w:trPr>
          <w:cantSplit/>
          <w:tblHeader/>
        </w:trPr>
        <w:tc>
          <w:tcPr>
            <w:tcW w:type="dxa" w:w="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and not the alternative</w:t>
            </w:r>
          </w:p>
        </w:tc>
      </w:tr>
      <w:tr>
        <w:trPr>
          <w:cantSplit/>
          <w:tblHeader w:val="off"/>
        </w:trPr>
        <w:tc>
          <w:tcPr>
            <w:tcW w:type="dxa" w:w="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Node.js, long-term-support line 24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24.20.0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long-term support since October 2025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current long-term-support line. Line 26 is not yet long-term support.</w:t>
            </w:r>
          </w:p>
        </w:tc>
      </w:tr>
      <w:tr>
        <w:trPr>
          <w:cantSplit/>
          <w:tblHeader w:val="off"/>
        </w:trPr>
        <w:tc>
          <w:tcPr>
            <w:tcW w:type="dxa" w:w="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11.19.0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Ships with Node 24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Comes with the runtime, so there is nothing extra to install or keep in step. pnpm is also widely used but is a separate tool.</w:t>
            </w:r>
          </w:p>
        </w:tc>
      </w:tr>
      <w:tr>
        <w:trPr>
          <w:cantSplit/>
          <w:tblHeader w:val="off"/>
        </w:trPr>
        <w:tc>
          <w:tcPr>
            <w:tcW w:type="dxa" w:w="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5.9.3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354.8 million downloads a week. The 5 line has been in use since March 2023.</w:t>
            </w:r>
          </w:p>
        </w:tc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7 came out in July 2026 and version 6 in March 2026. Both are too new under rule 2.</w:t>
            </w:r>
          </w:p>
        </w:tc>
      </w:tr>
    </w:tbl>
    <w:p/>
    <w:p>
      <w:pPr>
        <w:pStyle w:val="Heading3"/>
        <w:keepNext/>
      </w:pPr>
      <w:r>
        <w:t xml:space="preserve">2.2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1"/>
        <w:gridCol w:w="2100"/>
        <w:gridCol w:w="1066"/>
        <w:gridCol w:w="2102"/>
        <w:gridCol w:w="2871"/>
      </w:tblGrid>
      <w:tr>
        <w:trPr>
          <w:cantSplit/>
          <w:tblHeader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and not the alternative</w:t>
            </w:r>
          </w:p>
        </w:tc>
      </w:tr>
      <w:tr>
        <w:trPr>
          <w:cantSplit/>
          <w:tblHeader w:val="off"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17.11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17 has been out since September 2024; this is its eleventh maintenance release</w:t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18 is newer. The newest maintenance release of 17 is used because those releases are security and bug fixes (rule 4).</w:t>
            </w:r>
          </w:p>
        </w:tc>
      </w:tr>
      <w:tr>
        <w:trPr>
          <w:cantSplit/>
          <w:tblHeader w:val="off"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driver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8.23.0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70.8 million a week. The 8 line since March 2020.</w:t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standard Postgres driver for Node</w:t>
            </w:r>
          </w:p>
        </w:tc>
      </w:tr>
      <w:tr>
        <w:trPr>
          <w:cantSplit/>
          <w:tblHeader w:val="off"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 changes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node-pg-migrate, running plain SQL files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8.0.4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use since 2014. The 8 line since May 2025.</w:t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9 came out in July 2026. Row-level security, roles and triggers are written in SQL either way.</w:t>
            </w:r>
          </w:p>
        </w:tc>
      </w:tr>
      <w:tr>
        <w:trPr>
          <w:cantSplit/>
          <w:tblHeader w:val="off"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Queries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Kysely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0.29.5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21.4 million a week, in use since February 2021</w:t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section 3. Knex is older (2013) but has a third of the use and weaker type checking. Prisma is widely used but manages the schema itself, which conflicts with hand-written security policies.</w:t>
            </w:r>
          </w:p>
        </w:tc>
      </w:tr>
      <w:tr>
        <w:trPr>
          <w:cantSplit/>
          <w:tblHeader w:val="off"/>
        </w:trPr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queue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pg-boss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12.30.0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use since March 2016. 2.6 million a week.</w:t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section 3. BullMQ has more users but needs a second database (Redis) and cannot create a job in the same transaction as business data, which the approved architecture requires.</w:t>
            </w:r>
          </w:p>
        </w:tc>
      </w:tr>
    </w:tbl>
    <w:p/>
    <w:p>
      <w:pPr>
        <w:pStyle w:val="Heading3"/>
        <w:keepNext/>
      </w:pPr>
      <w:r>
        <w:t xml:space="preserve">2.3 Core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9"/>
        <w:gridCol w:w="1564"/>
        <w:gridCol w:w="1122"/>
        <w:gridCol w:w="2077"/>
        <w:gridCol w:w="3078"/>
      </w:tblGrid>
      <w:tr>
        <w:trPr>
          <w:cantSplit/>
          <w:tblHeader/>
        </w:trPr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1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1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3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and not the alternative</w:t>
            </w:r>
          </w:p>
        </w:tc>
      </w:tr>
      <w:tr>
        <w:trPr>
          <w:cantSplit/>
          <w:tblHeader w:val="off"/>
        </w:trPr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1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Express</w:t>
            </w:r>
          </w:p>
        </w:tc>
        <w:tc>
          <w:tcPr>
            <w:tcW w:type="dxa" w:w="1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5.2.1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165.8 million a week, in use since 2010. The 5 line since September 2024.</w:t>
            </w:r>
          </w:p>
        </w:tc>
        <w:tc>
          <w:tcPr>
            <w:tcW w:type="dxa" w:w="3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most widely used by a wide margin. Fastify (17.3 million a week) was the earlier choice; it is sound but has a tenth of the use.</w:t>
            </w:r>
          </w:p>
        </w:tc>
      </w:tr>
      <w:tr>
        <w:trPr>
          <w:cantSplit/>
          <w:tblHeader w:val="off"/>
        </w:trPr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1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helmet</w:t>
            </w:r>
          </w:p>
        </w:tc>
        <w:tc>
          <w:tcPr>
            <w:tcW w:type="dxa" w:w="1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8.3.0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18.7 million a week, in use since 2012</w:t>
            </w:r>
          </w:p>
        </w:tc>
        <w:tc>
          <w:tcPr>
            <w:tcW w:type="dxa" w:w="3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standard companion to Express</w:t>
            </w:r>
          </w:p>
        </w:tc>
      </w:tr>
      <w:tr>
        <w:trPr>
          <w:cantSplit/>
          <w:tblHeader w:val="off"/>
        </w:trPr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1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1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4.5.4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373.9 million a week. The 4 line since July 2025.</w:t>
            </w:r>
          </w:p>
        </w:tc>
        <w:tc>
          <w:tcPr>
            <w:tcW w:type="dxa" w:w="3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most widely used validation library for TypeScript</w:t>
            </w:r>
          </w:p>
        </w:tc>
      </w:tr>
      <w:tr>
        <w:trPr>
          <w:cantSplit/>
          <w:tblHeader w:val="off"/>
        </w:trPr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Sign-in</w:t>
            </w:r>
          </w:p>
        </w:tc>
        <w:tc>
          <w:tcPr>
            <w:tcW w:type="dxa" w:w="1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Better Auth, with its two-factor plugin</w:t>
            </w:r>
          </w:p>
        </w:tc>
        <w:tc>
          <w:tcPr>
            <w:tcW w:type="dxa" w:w="1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1.7.2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12.0 million a week. The 1 line since November 2024.</w:t>
            </w:r>
          </w:p>
        </w:tc>
        <w:tc>
          <w:tcPr>
            <w:tcW w:type="dxa" w:w="3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section 3. It is now more widely used than next-auth (7.5 million) and Passport (9.9 million), and neither of those provides a second factor.</w:t>
            </w:r>
          </w:p>
        </w:tc>
      </w:tr>
      <w:tr>
        <w:trPr>
          <w:cantSplit/>
          <w:tblHeader w:val="off"/>
        </w:trPr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1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pino, with pino-http</w:t>
            </w:r>
          </w:p>
        </w:tc>
        <w:tc>
          <w:tcPr>
            <w:tcW w:type="dxa" w:w="1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10.3.1 and 11.0.0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62.1 million a week, in use since 2016</w:t>
            </w:r>
          </w:p>
        </w:tc>
        <w:tc>
          <w:tcPr>
            <w:tcW w:type="dxa" w:w="3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About twice the use of winston (33.0 million), with built-in removal of sensitive fields</w:t>
            </w:r>
          </w:p>
        </w:tc>
      </w:tr>
      <w:tr>
        <w:trPr>
          <w:cantSplit/>
          <w:tblHeader w:val="off"/>
        </w:trPr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Sending email</w:t>
            </w:r>
          </w:p>
        </w:tc>
        <w:tc>
          <w:tcPr>
            <w:tcW w:type="dxa" w:w="1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Nodemailer</w:t>
            </w:r>
          </w:p>
        </w:tc>
        <w:tc>
          <w:tcPr>
            <w:tcW w:type="dxa" w:w="1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9.1.1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28.2 million a week, in use since 2011</w:t>
            </w:r>
          </w:p>
        </w:tc>
        <w:tc>
          <w:tcPr>
            <w:tcW w:type="dxa" w:w="3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standard mail library for Node. Version 10 came out in September 2026.</w:t>
            </w:r>
          </w:p>
        </w:tc>
      </w:tr>
    </w:tbl>
    <w:p/>
    <w:p>
      <w:pPr>
        <w:pStyle w:val="Heading3"/>
        <w:keepNext/>
      </w:pPr>
      <w:r>
        <w:t xml:space="preserve">2.4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7"/>
        <w:gridCol w:w="1374"/>
        <w:gridCol w:w="1175"/>
        <w:gridCol w:w="2487"/>
        <w:gridCol w:w="2917"/>
      </w:tblGrid>
      <w:tr>
        <w:trPr>
          <w:cantSplit/>
          <w:tblHeader/>
        </w:trPr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and not the alternative</w:t>
            </w:r>
          </w:p>
        </w:tc>
      </w:tr>
      <w:tr>
        <w:trPr>
          <w:cantSplit/>
          <w:tblHeader w:val="off"/>
        </w:trPr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16.3.4</w:t>
            </w:r>
          </w:p>
        </w:tc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74.7 million a week. The 16 line since October 2025.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most widely used React framework, and the one the Aztek site already runs. See section 3.</w:t>
            </w:r>
          </w:p>
        </w:tc>
      </w:tr>
      <w:tr>
        <w:trPr>
          <w:cantSplit/>
          <w:tblHeader w:val="off"/>
        </w:trPr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 library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19.2.8</w:t>
            </w:r>
          </w:p>
        </w:tc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218.1 million a week. The 19 line since December 2024.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by the framework</w:t>
            </w:r>
          </w:p>
        </w:tc>
      </w:tr>
      <w:tr>
        <w:trPr>
          <w:cantSplit/>
          <w:tblHeader w:val="off"/>
        </w:trPr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4.3.3</w:t>
            </w:r>
          </w:p>
        </w:tc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158.9 million a week. The 4 line since January 2025.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same as the Aztek site</w:t>
            </w:r>
          </w:p>
        </w:tc>
      </w:tr>
      <w:tr>
        <w:trPr>
          <w:cantSplit/>
          <w:tblHeader w:val="off"/>
        </w:trPr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Forms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7.87.0</w:t>
            </w:r>
          </w:p>
        </w:tc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69.1 million a week. The 7 line since April 2021.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most widely used form library; works with Zod</w:t>
            </w:r>
          </w:p>
        </w:tc>
      </w:tr>
      <w:tr>
        <w:trPr>
          <w:cantSplit/>
          <w:tblHeader w:val="off"/>
        </w:trPr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1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1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3.10.1</w:t>
            </w:r>
          </w:p>
        </w:tc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69.6 million a week, in use since 2015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Needed from phase 5. The 3 line since June 2025.</w:t>
            </w:r>
          </w:p>
        </w:tc>
      </w:tr>
    </w:tbl>
    <w:p/>
    <w:p>
      <w:pPr>
        <w:pStyle w:val="Heading3"/>
        <w:keepNext/>
      </w:pPr>
      <w:r>
        <w:t xml:space="preserve">2.5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3"/>
        <w:gridCol w:w="2406"/>
        <w:gridCol w:w="1098"/>
        <w:gridCol w:w="1910"/>
        <w:gridCol w:w="2653"/>
      </w:tblGrid>
      <w:tr>
        <w:trPr>
          <w:cantSplit/>
          <w:tblHeader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and not the alternative</w:t>
            </w:r>
          </w:p>
        </w:tc>
      </w:tr>
      <w:tr>
        <w:trPr>
          <w:cantSplit/>
          <w:tblHeader w:val="off"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provider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API, model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claude-opus-5-5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Architecture section 14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per agent. A cheaper model for a high-volume agent is the owner's decision.</w:t>
            </w:r>
          </w:p>
        </w:tc>
      </w:tr>
      <w:tr>
        <w:trPr>
          <w:cantSplit/>
          <w:tblHeader w:val="off"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SDK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Official Anthropic TypeScript SDK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0.124.0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51.1 million a week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provider's own library. See section 3.</w:t>
            </w:r>
          </w:p>
        </w:tc>
      </w:tr>
    </w:tbl>
    <w:p/>
    <w:p>
      <w:pPr>
        <w:pStyle w:val="Heading3"/>
        <w:keepNext/>
      </w:pPr>
      <w:r>
        <w:t xml:space="preserve">2.6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8"/>
        <w:gridCol w:w="1628"/>
        <w:gridCol w:w="1276"/>
        <w:gridCol w:w="2015"/>
        <w:gridCol w:w="2663"/>
      </w:tblGrid>
      <w:tr>
        <w:trPr>
          <w:cantSplit/>
          <w:tblHeader/>
        </w:trPr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1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and not the alternative</w:t>
            </w:r>
          </w:p>
        </w:tc>
      </w:tr>
      <w:tr>
        <w:trPr>
          <w:cantSplit/>
          <w:tblHeader w:val="off"/>
        </w:trPr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and integration tests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  <w:tc>
          <w:tcPr>
            <w:tcW w:type="dxa" w:w="1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4.1.11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135.4 million a week. The 4 line since October 2025.</w:t>
            </w:r>
          </w:p>
        </w:tc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More than twice the use of Jest (56.4 million). Version 5 came out on 30 September 2026 and is too new.</w:t>
            </w:r>
          </w:p>
        </w:tc>
      </w:tr>
      <w:tr>
        <w:trPr>
          <w:cantSplit/>
          <w:tblHeader w:val="off"/>
        </w:trPr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Browser tests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Playwright</w:t>
            </w:r>
          </w:p>
        </w:tc>
        <w:tc>
          <w:tcPr>
            <w:tcW w:type="dxa" w:w="1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1.63.0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82.4 million a week, in use since 2020</w:t>
            </w:r>
          </w:p>
        </w:tc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About eleven times the use of Cypress (7.3 million)</w:t>
            </w:r>
          </w:p>
        </w:tc>
      </w:tr>
      <w:tr>
        <w:trPr>
          <w:cantSplit/>
          <w:tblHeader w:val="off"/>
        </w:trPr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checks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ESLint</w:t>
            </w:r>
          </w:p>
        </w:tc>
        <w:tc>
          <w:tcPr>
            <w:tcW w:type="dxa" w:w="1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9.39.5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193.3 million a week. The 9 line since April 2024.</w:t>
            </w:r>
          </w:p>
        </w:tc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10 came out in February 2026</w:t>
            </w:r>
          </w:p>
        </w:tc>
      </w:tr>
      <w:tr>
        <w:trPr>
          <w:cantSplit/>
          <w:tblHeader w:val="off"/>
        </w:trPr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Formatting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Prettier</w:t>
            </w:r>
          </w:p>
        </w:tc>
        <w:tc>
          <w:tcPr>
            <w:tcW w:type="dxa" w:w="1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3.9.6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165.3 million a week. The 3 line since July 2023.</w:t>
            </w:r>
          </w:p>
        </w:tc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standard formatter</w:t>
            </w:r>
          </w:p>
        </w:tc>
      </w:tr>
      <w:tr>
        <w:trPr>
          <w:cantSplit/>
          <w:tblHeader w:val="off"/>
        </w:trPr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 scanning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gitleaks, in the automated checks</w:t>
            </w:r>
          </w:p>
        </w:tc>
        <w:tc>
          <w:tcPr>
            <w:tcW w:type="dxa" w:w="1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Recorded at setup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Stops a key being committed</w:t>
            </w:r>
          </w:p>
        </w:tc>
      </w:tr>
      <w:tr>
        <w:trPr>
          <w:cantSplit/>
          <w:tblHeader w:val="off"/>
        </w:trPr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Automated checks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used for the Aztek site</w:t>
            </w:r>
          </w:p>
        </w:tc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Depends on owner item A7 (code hosting)</w:t>
            </w:r>
          </w:p>
        </w:tc>
      </w:tr>
    </w:tbl>
    <w:p/>
    <w:p>
      <w:pPr>
        <w:pStyle w:val="Heading3"/>
        <w:keepNext/>
      </w:pPr>
      <w:r>
        <w:t xml:space="preserve">2.7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94"/>
        <w:gridCol w:w="1566"/>
        <w:gridCol w:w="1346"/>
        <w:gridCol w:w="2794"/>
      </w:tblGrid>
      <w:tr>
        <w:trPr>
          <w:cantSplit/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and not the alternative</w:t>
            </w:r>
          </w:p>
        </w:tc>
      </w:tr>
      <w:tr>
        <w:trPr>
          <w:cantSplit/>
          <w:tblHeader w:val="off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Containers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with the Compose plugin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Whatever the server runs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hosting decision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Recorded when the server is inspected (owner item A1)</w:t>
            </w:r>
          </w:p>
        </w:tc>
      </w:tr>
      <w:tr>
        <w:trPr>
          <w:cantSplit/>
          <w:tblHeader w:val="off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proxy already on the server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Recorded at inspection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If there is none: nginx, stable branch, which the Aztek production server already uses</w:t>
            </w:r>
          </w:p>
        </w:tc>
      </w:tr>
      <w:tr>
        <w:trPr>
          <w:cantSplit/>
          <w:tblHeader w:val="off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Sentry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SDK 10.73.0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44.7 million a week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most widely used. SDK version 11 came out in September 2026. Needs an account (A10).</w:t>
            </w:r>
          </w:p>
        </w:tc>
      </w:tr>
      <w:tr>
        <w:trPr>
          <w:cantSplit/>
          <w:tblHeader w:val="off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store, backups, audit export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S3-compatible object storage; AWS S3 recommended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SDK 3.1127.0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56.3 million a week for the SDK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most widely used object store. It has object lock, which the write-once audit export needs. The provider is the owner's choice (A4, A5).</w:t>
            </w:r>
          </w:p>
        </w:tc>
      </w:tr>
      <w:tr>
        <w:trPr>
          <w:cantSplit/>
          <w:tblHeader w:val="off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Uptime check</w:t>
            </w:r>
          </w:p>
        </w:tc>
        <w:tc>
          <w:tcPr>
            <w:tcW w:type="dxa" w:w="2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hosted checker outside the server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be chosen</w:t>
            </w:r>
          </w:p>
        </w:tc>
        <w:tc>
          <w:tcPr>
            <w:tcW w:type="dxa" w:w="1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checker on the same server goes down with it</w:t>
            </w:r>
          </w:p>
        </w:tc>
      </w:tr>
    </w:tbl>
    <w:p/>
    <w:p>
      <w:pPr>
        <w:pStyle w:val="Heading2"/>
        <w:keepNext/>
      </w:pPr>
      <w:bookmarkStart w:name="h_b1f8335907" w:id="3"/>
      <w:r>
        <w:t xml:space="preserve">3. Where a choice does not fully meet the rules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4"/>
        <w:gridCol w:w="2106"/>
        <w:gridCol w:w="2789"/>
        <w:gridCol w:w="3001"/>
      </w:tblGrid>
      <w:tr>
        <w:trPr>
          <w:cantSplit/>
          <w:tblHeader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Which rule it bends</w:t>
            </w:r>
          </w:p>
        </w:tc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it is still the choice</w:t>
            </w:r>
          </w:p>
        </w:tc>
        <w:tc>
          <w:tcPr>
            <w:tcW w:type="dxa" w:w="3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Safeguard</w:t>
            </w:r>
          </w:p>
        </w:tc>
      </w:tr>
      <w:tr>
        <w:trPr>
          <w:cantSplit/>
          <w:tblHeader w:val="off"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Kysely 0.29.5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Its version number is below 1.0, which normally signals an unfinished library</w:t>
            </w:r>
          </w:p>
        </w:tc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has been in production use since 2021 and has 21.4 million downloads a week, more than three times Knex. The sign-in library uses it internally, so it is in the product whether or not we call it directly.</w:t>
            </w:r>
          </w:p>
        </w:tc>
        <w:tc>
          <w:tcPr>
            <w:tcW w:type="dxa" w:w="3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 version pinned. All queries go through one package (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packages/db</w:t>
            </w:r>
            <w:r>
              <w:rPr>
                <w:sz w:val="20"/>
                <w:szCs w:val="20"/>
              </w:rPr>
              <w:t xml:space="preserve">), so it can be replaced without touching the rest.</w:t>
            </w:r>
          </w:p>
        </w:tc>
      </w:tr>
      <w:tr>
        <w:trPr>
          <w:cantSplit/>
          <w:tblHeader w:val="off"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Better Auth 1.7.2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youngest library in the stack: first released April 2024</w:t>
            </w:r>
          </w:p>
        </w:tc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older options (Passport, next-auth) have no second factor, so we would write that security code ourselves. That is a bigger risk than a younger library that provides it.</w:t>
            </w:r>
          </w:p>
        </w:tc>
        <w:tc>
          <w:tcPr>
            <w:tcW w:type="dxa" w:w="3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Its database schema is a reviewed, committed migration; it cannot change tables at run time. Sign-in has its own acceptance tests.</w:t>
            </w:r>
          </w:p>
        </w:tc>
      </w:tr>
      <w:tr>
        <w:trPr>
          <w:cantSplit/>
          <w:tblHeader w:val="off"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pg-boss 12.30.0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 version 12 is 11 months old, just under a year, and releases come often</w:t>
            </w:r>
          </w:p>
        </w:tc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features the approved design relies on (worker heartbeats, per-group concurrency, notification dispatch) were confirmed against the version 12 documentation. Version 10 is older but those features are not confirmed there.</w:t>
            </w:r>
          </w:p>
        </w:tc>
        <w:tc>
          <w:tcPr>
            <w:tcW w:type="dxa" w:w="3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first work package confirms each feature on this exact version before anything is built on it. The queue sits behind our own interface.</w:t>
            </w:r>
          </w:p>
        </w:tc>
      </w:tr>
      <w:tr>
        <w:trPr>
          <w:cantSplit/>
          <w:tblHeader w:val="off"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Next.js 16.3.4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 version 16 is 12 months old, right at the limit. Version 15 is older and still maintained.</w:t>
            </w:r>
          </w:p>
        </w:tc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matches the Aztek site, so there is one set of conventions to know.</w:t>
            </w:r>
          </w:p>
        </w:tc>
        <w:tc>
          <w:tcPr>
            <w:tcW w:type="dxa" w:w="3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Its bundled documentation is read before any code is written. Version 15.5 is the fallback.</w:t>
            </w:r>
          </w:p>
        </w:tc>
      </w:tr>
      <w:tr>
        <w:trPr>
          <w:cantSplit/>
          <w:tblHeader w:val="off"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Anthropic SDK 0.124.0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number below 1.0</w:t>
            </w:r>
          </w:p>
        </w:tc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is the provider's official library and there is no alternative with the same support</w:t>
            </w:r>
          </w:p>
        </w:tc>
        <w:tc>
          <w:tcPr>
            <w:tcW w:type="dxa" w:w="3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first work package confirms this version works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claude-opus-5-5</w:t>
            </w:r>
            <w:r>
              <w:rPr>
                <w:sz w:val="20"/>
                <w:szCs w:val="20"/>
              </w:rPr>
              <w:t xml:space="preserve">. If it does not, the newest version is used as a stated exception to the 30-day rule.</w:t>
            </w:r>
          </w:p>
        </w:tc>
      </w:tr>
      <w:tr>
        <w:trPr>
          <w:cantSplit/>
          <w:tblHeader w:val="off"/>
        </w:trPr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PostgreSQL 17.11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newest maintenance release, so it may be under 30 days old</w:t>
            </w:r>
          </w:p>
        </w:tc>
        <w:tc>
          <w:tcPr>
            <w:tcW w:type="dxa" w:w="2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releases are security and bug fixes (rule 4)</w:t>
            </w:r>
          </w:p>
        </w:tc>
        <w:tc>
          <w:tcPr>
            <w:tcW w:type="dxa" w:w="3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Tested like any other change</w:t>
            </w:r>
          </w:p>
        </w:tc>
      </w:tr>
    </w:tbl>
    <w:p/>
    <w:p>
      <w:pPr>
        <w:pStyle w:val="Heading2"/>
        <w:keepNext/>
      </w:pPr>
      <w:bookmarkStart w:name="h_ee16623443" w:id="4"/>
      <w:r>
        <w:t xml:space="preserve">4. What this changes in the approved Phase 1 spec</w:t>
      </w:r>
      <w:bookmarkEnd w:id="4"/>
    </w:p>
    <w:p>
      <w:pPr>
        <w:spacing w:after="120"/>
      </w:pPr>
      <w:r>
        <w:t xml:space="preserve">The Phase 1 spec version 3 pinned the newest releases. This document replaces its section 3. The spec needs a version 4 to carry these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6"/>
        <w:gridCol w:w="2394"/>
        <w:gridCol w:w="1903"/>
        <w:gridCol w:w="2617"/>
      </w:tblGrid>
      <w:tr>
        <w:trPr>
          <w:cantSplit/>
          <w:tblHeader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 spec version 3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24.21.0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24.20.0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30-day rule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pnpm 12.9.1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11.19.0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Ships with the runtime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7.0.2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5.9.3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7 is three months old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 HTTP framework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Fastify 5.12.5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Express 5.2.1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 times the use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4.6.5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4.5.4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30-day rule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Kysely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0.29.6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0.29.5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30-day rule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Better Auth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1.7.7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1.7.2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30-day rule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pg-boss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12.36.0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12.30.0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30-day rule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8.23.1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8.23.0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30-day rule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and React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16.3.8 and 19.3.0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16.3.4 and 19.2.8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30-day rule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0.131.0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0.124.0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30-day rule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5.0.3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4.1.11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5 is days old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pino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10.4.0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10.3.1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30-day rule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Sentry SDK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11.4.0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10.73.0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11 is a month old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proxy, if none exists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Caddy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used on the Aztek server</w:t>
            </w:r>
          </w:p>
        </w:tc>
      </w:tr>
      <w:tr>
        <w:trPr>
          <w:cantSplit/>
          <w:tblHeader w:val="off"/>
        </w:trPr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17.11, Playwright 1.63.0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t xml:space="preserve">Design is not affected. The core service does the same things on Express as on Fastify; only the framework under it changes.</w:t>
      </w:r>
    </w:p>
    <w:p>
      <w:pPr>
        <w:pStyle w:val="Heading2"/>
        <w:keepNext/>
      </w:pPr>
      <w:bookmarkStart w:name="h_157b5db281" w:id="5"/>
      <w:r>
        <w:t xml:space="preserve">5. Not chosen yet</w:t>
      </w:r>
      <w:bookmarkEnd w:id="5"/>
    </w:p>
    <w:p>
      <w:pPr>
        <w:spacing w:after="120"/>
      </w:pPr>
      <w:r>
        <w:t xml:space="preserve">These belong to later phases and are chosen in those phases' specs, by the same rules and within the tool budget (owner item B5).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2"/>
        <w:gridCol w:w="1206"/>
        <w:gridCol w:w="3592"/>
      </w:tblGrid>
      <w:tr>
        <w:trPr>
          <w:cantSplit/>
          <w:tblHeader/>
        </w:trPr>
        <w:tc>
          <w:tcPr>
            <w:tcW w:type="dxa" w:w="4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Depends on</w:t>
            </w:r>
          </w:p>
        </w:tc>
      </w:tr>
      <w:tr>
        <w:trPr>
          <w:cantSplit/>
          <w:tblHeader w:val="off"/>
        </w:trPr>
        <w:tc>
          <w:tcPr>
            <w:tcW w:type="dxa" w:w="4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Social publishing route: each platform's own API, or one publishing provider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 approvals (D1 to D4)</w:t>
            </w:r>
          </w:p>
        </w:tc>
      </w:tr>
      <w:tr>
        <w:trPr>
          <w:cantSplit/>
          <w:tblHeader w:val="off"/>
        </w:trPr>
        <w:tc>
          <w:tcPr>
            <w:tcW w:type="dxa" w:w="4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Image, video and voice generation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Tool budget (B5); a trial with real Aztek assets</w:t>
            </w:r>
          </w:p>
        </w:tc>
      </w:tr>
      <w:tr>
        <w:trPr>
          <w:cantSplit/>
          <w:tblHeader w:val="off"/>
        </w:trPr>
        <w:tc>
          <w:tcPr>
            <w:tcW w:type="dxa" w:w="4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Keyword and search data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Tool budget (B5)</w:t>
            </w:r>
          </w:p>
        </w:tc>
      </w:tr>
      <w:tr>
        <w:trPr>
          <w:cantSplit/>
          <w:tblHeader w:val="off"/>
        </w:trPr>
        <w:tc>
          <w:tcPr>
            <w:tcW w:type="dxa" w:w="4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management for platform tokens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 provider (A4)</w:t>
            </w:r>
          </w:p>
        </w:tc>
      </w:tr>
      <w:tr>
        <w:trPr>
          <w:cantSplit/>
          <w:tblHeader w:val="off"/>
        </w:trPr>
        <w:tc>
          <w:tcPr>
            <w:tcW w:type="dxa" w:w="4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sending service for leads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Sending domain (E7)</w:t>
            </w:r>
          </w:p>
        </w:tc>
      </w:tr>
      <w:tr>
        <w:trPr>
          <w:cantSplit/>
          <w:tblHeader w:val="off"/>
        </w:trPr>
        <w:tc>
          <w:tcPr>
            <w:tcW w:type="dxa" w:w="4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Calendar booking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calendar (E6)</w:t>
            </w:r>
          </w:p>
        </w:tc>
      </w:tr>
      <w:tr>
        <w:trPr>
          <w:cantSplit/>
          <w:tblHeader w:val="off"/>
        </w:trPr>
        <w:tc>
          <w:tcPr>
            <w:tcW w:type="dxa" w:w="4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 platform access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 pilot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 accounts</w:t>
            </w:r>
          </w:p>
        </w:tc>
      </w:tr>
      <w:tr>
        <w:trPr>
          <w:cantSplit/>
          <w:tblHeader w:val="off"/>
        </w:trPr>
        <w:tc>
          <w:tcPr>
            <w:tcW w:type="dxa" w:w="4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Payments and e-signature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sale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provider (G6)</w:t>
            </w:r>
          </w:p>
        </w:tc>
      </w:tr>
    </w:tbl>
    <w:p/>
    <w:p>
      <w:pPr>
        <w:pStyle w:val="Heading2"/>
        <w:keepNext/>
      </w:pPr>
      <w:bookmarkStart w:name="h_b2ffc0cf9d" w:id="6"/>
      <w:r>
        <w:t xml:space="preserve">6. Keeping it stable</w:t>
      </w:r>
      <w:bookmarkEnd w:id="6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Exact versions</w:t>
      </w:r>
      <w:r>
        <w:t xml:space="preserve"> in the package file, with the lockfile committed. No version ranges.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Node version</w:t>
      </w:r>
      <w:r>
        <w:t xml:space="preserve"> is fixed in the project; the build fails on any other.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Container images</w:t>
      </w:r>
      <w:r>
        <w:t xml:space="preserve"> are referenced by digest.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Upgrades</w:t>
      </w:r>
      <w:r>
        <w:t xml:space="preserve"> happen on a schedule, not as they appear: once a month, one reviewed change, taking only releases at least 30 days old, with the full test suite passing.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Security fixes</w:t>
      </w:r>
      <w:r>
        <w:t xml:space="preserve"> are taken as soon as reviewed and tested.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new major version</w:t>
      </w:r>
      <w:r>
        <w:t xml:space="preserve"> is considered only after it has been out for about a year.</w:t>
      </w:r>
    </w:p>
    <w:p>
      <w:pPr>
        <w:pStyle w:val="Heading2"/>
        <w:keepNext/>
      </w:pPr>
      <w:bookmarkStart w:name="h_95d85ee636" w:id="7"/>
      <w:r>
        <w:t xml:space="preserve">7. Points for the owner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6"/>
        <w:gridCol w:w="8394"/>
      </w:tblGrid>
      <w:tr>
        <w:trPr>
          <w:cantSplit/>
          <w:tblHeader/>
        </w:trPr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8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Point</w:t>
            </w:r>
          </w:p>
        </w:tc>
      </w:tr>
      <w:tr>
        <w:trPr>
          <w:cantSplit/>
          <w:tblHeader w:val="off"/>
        </w:trPr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 the two changes of tool, not just of version: Express in place of Fastify, and npm in place of pnpm.</w:t>
            </w:r>
          </w:p>
        </w:tc>
      </w:tr>
      <w:tr>
        <w:trPr>
          <w:cantSplit/>
          <w:tblHeader w:val="off"/>
        </w:trPr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 the exceptions in section 3, in particular Better Auth and Kysely.</w:t>
            </w:r>
          </w:p>
        </w:tc>
      </w:tr>
      <w:tr>
        <w:trPr>
          <w:cantSplit/>
          <w:tblHeader w:val="off"/>
        </w:trPr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 provider for assets, backups and the audit export (A4, A5). AWS S3 is recommended.</w:t>
            </w:r>
          </w:p>
        </w:tc>
      </w:tr>
      <w:tr>
        <w:trPr>
          <w:cantSplit/>
          <w:tblHeader w:val="off"/>
        </w:trPr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hosted uptime checker needs an account (owner item A13).</w:t>
            </w:r>
          </w:p>
        </w:tc>
      </w:tr>
    </w:tbl>
    <w:p/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2026-10-04-tech-stack.md · generated 2026-10-04 · 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2F549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2026-10-04T07:29:32.819Z</dcterms:created>
  <dcterms:modified xsi:type="dcterms:W3CDTF">2026-10-04T07:29:32.819Z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