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Queue Library Trial —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7120"/>
      </w:tblGrid>
      <w:tr>
        <w:trPr>
          <w:cantSplit/>
          <w:tblHeader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Code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Check, before the milestone 1 task plan is written, that the queue library behaves as Phase 1 spec version 4, section 9, assumes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Findings for the owner. One finding needs a change to the approved spec.</w:t>
            </w:r>
          </w:p>
        </w:tc>
      </w:tr>
    </w:tbl>
    <w:p/>
    <w:p>
      <w:pPr>
        <w:pStyle w:val="Heading2"/>
        <w:keepNext/>
      </w:pPr>
      <w:r>
        <w:t xml:space="preserve">Contents</w:t>
      </w:r>
    </w:p>
    <w:p>
      <w:pPr>
        <w:spacing w:after="40"/>
      </w:pPr>
      <w:hyperlink w:history="1" w:anchor="h_b3419a5f30">
        <w:r>
          <w:rPr>
            <w:color w:val="2F5496"/>
          </w:rPr>
          <w:t xml:space="preserve">1. What was tested</w:t>
        </w:r>
      </w:hyperlink>
    </w:p>
    <w:p>
      <w:pPr>
        <w:spacing w:after="40"/>
      </w:pPr>
      <w:hyperlink w:history="1" w:anchor="h_389625f42c">
        <w:r>
          <w:rPr>
            <w:color w:val="2F5496"/>
          </w:rPr>
          <w:t xml:space="preserve">2. Results</w:t>
        </w:r>
      </w:hyperlink>
    </w:p>
    <w:p>
      <w:pPr>
        <w:spacing w:after="40"/>
      </w:pPr>
      <w:hyperlink w:history="1" w:anchor="h_e32c5f8d08">
        <w:r>
          <w:rPr>
            <w:color w:val="2F5496"/>
          </w:rPr>
          <w:t xml:space="preserve">3. The per-brand limit</w:t>
        </w:r>
      </w:hyperlink>
    </w:p>
    <w:p>
      <w:pPr>
        <w:spacing w:after="40"/>
      </w:pPr>
      <w:hyperlink w:history="1" w:anchor="h_de51289c2a">
        <w:r>
          <w:rPr>
            <w:color w:val="2F5496"/>
          </w:rPr>
          <w:t xml:space="preserve">4. What this means</w:t>
        </w:r>
      </w:hyperlink>
    </w:p>
    <w:p>
      <w:pPr>
        <w:spacing w:after="40"/>
      </w:pPr>
      <w:hyperlink w:history="1" w:anchor="h_47e253328c">
        <w:r>
          <w:rPr>
            <w:color w:val="2F5496"/>
          </w:rPr>
          <w:t xml:space="preserve">5. What needs to change in approved documents</w:t>
        </w:r>
      </w:hyperlink>
    </w:p>
    <w:p>
      <w:pPr>
        <w:spacing w:after="40"/>
      </w:pPr>
      <w:hyperlink w:history="1" w:anchor="h_4931c48a39">
        <w:r>
          <w:rPr>
            <w:color w:val="2F5496"/>
          </w:rPr>
          <w:t xml:space="preserve">6. Not yet checked</w:t>
        </w:r>
      </w:hyperlink>
    </w:p>
    <w:p/>
    <w:p>
      <w:pPr>
        <w:pStyle w:val="Heading2"/>
        <w:keepNext/>
      </w:pPr>
      <w:bookmarkStart w:name="h_b3419a5f30" w:id="1"/>
      <w:r>
        <w:t xml:space="preserve">1. What was tested</w:t>
      </w:r>
      <w:bookmarkEnd w:id="1"/>
    </w:p>
    <w:p>
      <w:pPr>
        <w:spacing w:after="120"/>
      </w:pPr>
      <w:r>
        <w:t xml:space="preserve">Throwaway scripts in a scratch folder, not in this repository, run against a real database. Milestone 1 turns each check into a permanent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736"/>
      </w:tblGrid>
      <w:tr>
        <w:trPr>
          <w:cantSplit/>
          <w:tblHeader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Queue library</w:t>
            </w:r>
          </w:p>
        </w:tc>
        <w:tc>
          <w:tcPr>
            <w:tcW w:type="dxa" w:w="7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pg-boss 12.30.0, the pinned version</w:t>
            </w:r>
          </w:p>
        </w:tc>
      </w:tr>
      <w:tr>
        <w:trPr>
          <w:cantSplit/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7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17.11, official image, digest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sha256:d74eeac9a635390a49bc21bd49fccd973de707e2a53a76ac49b552b8712ec46f</w:t>
            </w:r>
          </w:p>
        </w:tc>
      </w:tr>
      <w:tr>
        <w:trPr>
          <w:cantSplit/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builder</w:t>
            </w:r>
          </w:p>
        </w:tc>
        <w:tc>
          <w:tcPr>
            <w:tcW w:type="dxa" w:w="7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Kysely 0.29.5</w:t>
            </w:r>
          </w:p>
        </w:tc>
      </w:tr>
      <w:tr>
        <w:trPr>
          <w:cantSplit/>
          <w:tblHeader w:val="off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7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 22.23.1, the version on this machine. The pinned Node 24.20.0 is not installed yet; milestone 1 repeats the checks on it.</w:t>
            </w:r>
          </w:p>
        </w:tc>
      </w:tr>
    </w:tbl>
    <w:p/>
    <w:p>
      <w:pPr>
        <w:pStyle w:val="Heading2"/>
        <w:keepNext/>
      </w:pPr>
      <w:bookmarkStart w:name="h_389625f42c" w:id="2"/>
      <w:r>
        <w:t xml:space="preserve">2. Results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3555"/>
        <w:gridCol w:w="1522"/>
        <w:gridCol w:w="3581"/>
      </w:tblGrid>
      <w:tr>
        <w:trPr>
          <w:cantSplit/>
          <w:tblHeader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the spec assumes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rPr>
          <w:cantSplit/>
          <w:tblHeader w:val="off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job can be created inside the same transaction as a business change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Confirmed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 a rolled-back transaction: 0 jobs. After a committed one: 1 job.</w:t>
            </w:r>
          </w:p>
        </w:tc>
      </w:tr>
      <w:tr>
        <w:trPr>
          <w:cantSplit/>
          <w:tblHeader w:val="off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job whose worker stops sending heartbeats is taken back and retried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Confirmed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 a 10-second allowed gap, a silent job moved from active to retry after 11.1 seconds</w:t>
            </w:r>
          </w:p>
        </w:tc>
      </w:tr>
      <w:tr>
        <w:trPr>
          <w:cantSplit/>
          <w:tblHeader w:val="off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job that keeps failing ends in the dead-letter queue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Confirmed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attempts with a retry limit of 1, then 1 job in the dead-letter queue</w:t>
            </w:r>
          </w:p>
        </w:tc>
      </w:tr>
      <w:tr>
        <w:trPr>
          <w:cantSplit/>
          <w:tblHeader w:val="off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 dispatch wakes a worker quickly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Confirmed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jobs claimed 6 to 15 milliseconds after being sent, against a 2-second polling interval</w:t>
            </w:r>
          </w:p>
        </w:tc>
      </w:tr>
      <w:tr>
        <w:trPr>
          <w:cantSplit/>
          <w:tblHeader w:val="off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per-group concurrency limit is enforced in the database across all workers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 confirmed</w:t>
            </w:r>
          </w:p>
        </w:tc>
        <w:tc>
          <w:tcPr>
            <w:tcW w:type="dxa" w:w="3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section 3</w:t>
            </w:r>
          </w:p>
        </w:tc>
      </w:tr>
    </w:tbl>
    <w:p/>
    <w:p>
      <w:pPr>
        <w:pStyle w:val="Heading2"/>
        <w:keepNext/>
      </w:pPr>
      <w:bookmarkStart w:name="h_e32c5f8d08" w:id="3"/>
      <w:r>
        <w:t xml:space="preserve">3. The per-brand limit</w:t>
      </w:r>
      <w:bookmarkEnd w:id="3"/>
    </w:p>
    <w:p>
      <w:pPr>
        <w:spacing w:after="120"/>
      </w:pPr>
      <w:r>
        <w:t xml:space="preserve">The spec says a brand's concurrency cap is "enforced in the database across all workers". The library has two settings, and they cannot be used together.</w:t>
      </w:r>
    </w:p>
    <w:p>
      <w:pPr>
        <w:spacing w:after="120"/>
      </w:pPr>
      <w:r>
        <w:rPr>
          <w:b/>
          <w:bCs/>
        </w:rPr>
        <w:t xml:space="preserve">Global limit (`groupConcurrency`).</w:t>
      </w:r>
      <w:r>
        <w:t xml:space="preserve"> Meant to cap a group across every worker. With a limit of 2 and 30 waiting jobs for one brand: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9"/>
        <w:gridCol w:w="1717"/>
        <w:gridCol w:w="2304"/>
      </w:tblGrid>
      <w:tr>
        <w:trPr>
          <w:cantSplit/>
          <w:tblHeader/>
        </w:trPr>
        <w:tc>
          <w:tcPr>
            <w:tcW w:type="dxa" w:w="5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Workers</w:t>
            </w:r>
          </w:p>
        </w:tc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Peak at start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Peak afterwards</w:t>
            </w:r>
          </w:p>
        </w:tc>
      </w:tr>
      <w:tr>
        <w:trPr>
          <w:cantSplit/>
          <w:tblHeader w:val="off"/>
        </w:trPr>
        <w:tc>
          <w:tcPr>
            <w:tcW w:type="dxa" w:w="5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process, six job slots</w:t>
            </w:r>
          </w:p>
        </w:tc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off"/>
        </w:trPr>
        <w:tc>
          <w:tcPr>
            <w:tcW w:type="dxa" w:w="5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Three processes, six job slots each</w:t>
            </w:r>
          </w:p>
        </w:tc>
        <w:tc>
          <w:tcPr>
            <w:tcW w:type="dxa" w:w="1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p/>
    <w:p>
      <w:pPr>
        <w:spacing w:after="120"/>
      </w:pPr>
      <w:r>
        <w:t xml:space="preserve">It is a soft limit. When several slots fetch at the same moment, each sees room under the limit and all of them take a job. It settles close to the limit later, but it does not hold it.</w:t>
      </w:r>
    </w:p>
    <w:p>
      <w:pPr>
        <w:spacing w:after="120"/>
      </w:pPr>
      <w:r>
        <w:rPr>
          <w:b/>
          <w:bCs/>
        </w:rPr>
        <w:t xml:space="preserve">Per-process limit (`localGroupConcurrency`).</w:t>
      </w:r>
      <w:r>
        <w:t xml:space="preserve"> Caps a group inside one worker process. With a limit of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0"/>
        <w:gridCol w:w="1667"/>
        <w:gridCol w:w="2313"/>
      </w:tblGrid>
      <w:tr>
        <w:trPr>
          <w:cantSplit/>
          <w:tblHeader/>
        </w:trPr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Workers</w:t>
            </w:r>
          </w:p>
        </w:tc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Peak at start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Peak afterwards</w:t>
            </w:r>
          </w:p>
        </w:tc>
      </w:tr>
      <w:tr>
        <w:trPr>
          <w:cantSplit/>
          <w:tblHeader w:val="off"/>
        </w:trPr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process, six job slots</w:t>
            </w:r>
          </w:p>
        </w:tc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Three processes, six job slots each</w:t>
            </w:r>
          </w:p>
        </w:tc>
        <w:tc>
          <w:tcPr>
            <w:tcW w:type="dxa" w:w="16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</w:tbl>
    <w:p/>
    <w:p>
      <w:pPr>
        <w:spacing w:after="120"/>
      </w:pPr>
      <w:r>
        <w:t xml:space="preserve">It is exact inside a process. Across processes the total is the per-process limit times the number of processes: predictable, and never exceeded.</w:t>
      </w:r>
    </w:p>
    <w:p>
      <w:pPr>
        <w:spacing w:after="120"/>
      </w:pPr>
      <w:r>
        <w:rPr>
          <w:b/>
          <w:bCs/>
        </w:rPr>
        <w:t xml:space="preserve">Fairness.</w:t>
      </w:r>
      <w:r>
        <w:t xml:space="preserve"> In every multi-slot run, the second brand's first job started within about half a second while the first brand had 30 jobs waiting. A single job slot is the exception: it works strictly in order, and the second brand waited 10 seconds.</w:t>
      </w:r>
    </w:p>
    <w:p>
      <w:pPr>
        <w:pStyle w:val="Heading2"/>
        <w:keepNext/>
      </w:pPr>
      <w:bookmarkStart w:name="h_de51289c2a" w:id="4"/>
      <w:r>
        <w:t xml:space="preserve">4. What this means</w:t>
      </w:r>
      <w:bookmarkEnd w:id="4"/>
    </w:p>
    <w:p>
      <w:pPr>
        <w:pStyle w:val="ListParagraph"/>
        <w:numPr>
          <w:ilvl w:val="0"/>
          <w:numId w:val="2"/>
        </w:numPr>
      </w:pPr>
      <w:r>
        <w:t xml:space="preserve">The goal in the spec still holds: one brand's backlog must not delay another, and a brand must not exceed its cap.</w:t>
      </w:r>
    </w:p>
    <w:p>
      <w:pPr>
        <w:pStyle w:val="ListParagraph"/>
        <w:numPr>
          <w:ilvl w:val="0"/>
          <w:numId w:val="2"/>
        </w:numPr>
      </w:pPr>
      <w:r>
        <w:t xml:space="preserve">The mechanism in the spec does not deliver the second half strictly.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 change:</w:t>
      </w:r>
      <w:r>
        <w:t xml:space="preserve"> use the per-process limit. Set it to the brand's cap divided by the number of worker processes for that job class. Phase 1 runs one worker process per class, so the cap is exact. The number of processes is fixed in configuration, so the total stays known when more are added.</w:t>
      </w:r>
    </w:p>
    <w:p>
      <w:pPr>
        <w:pStyle w:val="ListParagraph"/>
        <w:numPr>
          <w:ilvl w:val="0"/>
          <w:numId w:val="2"/>
        </w:numPr>
      </w:pPr>
      <w:r>
        <w:t xml:space="preserve">Every worker process runs several job slots, never one, so a second brand is never stuck behind the first.</w:t>
      </w:r>
    </w:p>
    <w:p>
      <w:pPr>
        <w:pStyle w:val="ListParagraph"/>
        <w:numPr>
          <w:ilvl w:val="0"/>
          <w:numId w:val="2"/>
        </w:numPr>
      </w:pPr>
      <w:r>
        <w:t xml:space="preserve">Acceptance test 29 stays as written. It now proves the per-process limit, and is run with one worker process and with two.</w:t>
      </w:r>
    </w:p>
    <w:p>
      <w:pPr>
        <w:pStyle w:val="Heading2"/>
        <w:keepNext/>
      </w:pPr>
      <w:bookmarkStart w:name="h_47e253328c" w:id="5"/>
      <w:r>
        <w:t xml:space="preserve">5. What needs to change in approved documents</w:t>
      </w:r>
      <w:bookmarkEnd w:id="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5"/>
        <w:gridCol w:w="5075"/>
      </w:tblGrid>
      <w:tr>
        <w:trPr>
          <w:cantSplit/>
          <w:tblHeader/>
        </w:trPr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5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rPr>
          <w:cantSplit/>
          <w:tblHeader w:val="off"/>
        </w:trPr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1 spec version 4, section 9.2, rows "Per-brand concurrency" and "Fairness"</w:t>
            </w:r>
          </w:p>
        </w:tc>
        <w:tc>
          <w:tcPr>
            <w:tcW w:type="dxa" w:w="5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Replace "enforced in the database across all workers" with the per-process limit described above</w:t>
            </w:r>
          </w:p>
        </w:tc>
      </w:tr>
      <w:tr>
        <w:trPr>
          <w:cantSplit/>
          <w:tblHeader w:val="off"/>
        </w:trPr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1 spec version 4, section 9.3</w:t>
            </w:r>
          </w:p>
        </w:tc>
        <w:tc>
          <w:tcPr>
            <w:tcW w:type="dxa" w:w="5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 that the starting caps are per worker process, with one process per class in Phase 1</w:t>
            </w:r>
          </w:p>
        </w:tc>
      </w:tr>
      <w:tr>
        <w:trPr>
          <w:cantSplit/>
          <w:tblHeader w:val="off"/>
        </w:trPr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Architecture version 2, section 7.1, row "Per-brand concurrency"</w:t>
            </w:r>
          </w:p>
        </w:tc>
        <w:tc>
          <w:tcPr>
            <w:tcW w:type="dxa" w:w="5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change needed; it states the rule, not the mechanism</w:t>
            </w:r>
          </w:p>
        </w:tc>
      </w:tr>
    </w:tbl>
    <w:p/>
    <w:p>
      <w:pPr>
        <w:spacing w:after="120"/>
      </w:pPr>
      <w:r>
        <w:t xml:space="preserve">This is a new version of the Phase 1 spec (version 5) and needs the owner's approval, like every other change to an approved document.</w:t>
      </w:r>
    </w:p>
    <w:p>
      <w:pPr>
        <w:pStyle w:val="Heading2"/>
        <w:keepNext/>
      </w:pPr>
      <w:bookmarkStart w:name="h_4931c48a39" w:id="6"/>
      <w:r>
        <w:t xml:space="preserve">6. Not yet checked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31"/>
        <w:gridCol w:w="3629"/>
      </w:tblGrid>
      <w:tr>
        <w:trPr>
          <w:cantSplit/>
          <w:tblHeader/>
        </w:trPr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When</w:t>
            </w:r>
          </w:p>
        </w:tc>
      </w:tr>
      <w:tr>
        <w:trPr>
          <w:cantSplit/>
          <w:tblHeader w:val="off"/>
        </w:trPr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of the above on Node 24.20.0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Milestone 1</w:t>
            </w:r>
          </w:p>
        </w:tc>
      </w:tr>
      <w:tr>
        <w:trPr>
          <w:cantSplit/>
          <w:tblHeader w:val="off"/>
        </w:trPr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model provider's library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claude-opus-5-5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Milestone 1 if an API key is available (owner item A3); otherwise before milestone 4</w:t>
            </w:r>
          </w:p>
        </w:tc>
      </w:tr>
      <w:tr>
        <w:trPr>
          <w:cantSplit/>
          <w:tblHeader w:val="off"/>
        </w:trPr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sign-in library generating its tables as SQL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Milestone 2</w:t>
            </w:r>
          </w:p>
        </w:tc>
      </w:tr>
      <w:tr>
        <w:trPr>
          <w:cantSplit/>
          <w:tblHeader w:val="off"/>
        </w:trPr>
        <w:tc>
          <w:tcPr>
            <w:tcW w:type="dxa" w:w="5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complete pinned set installing and type-checking together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Milestone 1</w:t>
            </w:r>
          </w:p>
        </w:tc>
      </w:tr>
    </w:tbl>
    <w:p/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2026-10-04-queue-trial.md · generated 2026-10-04 · 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2F549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2026-10-04T09:53:31.443Z</dcterms:created>
  <dcterms:modified xsi:type="dcterms:W3CDTF">2026-10-04T09:53:31.443Z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