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jc w:val="left"/>
            </w:pPr>
            <w:r>
              <w:rPr>
                <w:rFonts w:ascii="Arial" w:cs="Arial" w:eastAsia="Arial" w:hAnsi="Arial"/>
                <w:b/>
                <w:bCs/>
                <w:color w:val="A8C8E8"/>
                <w:sz w:val="20"/>
                <w:szCs w:val="20"/>
              </w:rPr>
              <w:t xml:space="preserve">GELDIUM FINANCIAL SERVICES</w:t>
            </w:r>
          </w:p>
          <w:p>
            <w:pPr>
              <w:spacing w:after="60" w:before="0"/>
            </w:pPr>
          </w:p>
          <w:p>
            <w:pPr>
              <w:jc w:val="left"/>
            </w:pPr>
            <w:r>
              <w:rPr>
                <w:rFonts w:ascii="Arial" w:cs="Arial" w:eastAsia="Arial" w:hAnsi="Arial"/>
                <w:b/>
                <w:bCs/>
                <w:color w:val="FFFFFF"/>
                <w:sz w:val="52"/>
                <w:szCs w:val="52"/>
              </w:rPr>
              <w:t xml:space="preserve">Delinquency Risk &amp; Collections</w:t>
            </w:r>
          </w:p>
          <w:p>
            <w:pPr>
              <w:jc w:val="left"/>
            </w:pPr>
            <w:r>
              <w:rPr>
                <w:rFonts w:ascii="Arial" w:cs="Arial" w:eastAsia="Arial" w:hAnsi="Arial"/>
                <w:b/>
                <w:bCs/>
                <w:color w:val="FFFFFF"/>
                <w:sz w:val="52"/>
                <w:szCs w:val="52"/>
              </w:rPr>
              <w:t xml:space="preserve">Strategy Report</w:t>
            </w:r>
          </w:p>
          <w:p>
            <w:pPr>
              <w:spacing w:after="80" w:before="0"/>
            </w:pPr>
          </w:p>
          <w:p>
            <w:pPr>
              <w:jc w:val="left"/>
            </w:pPr>
            <w:r>
              <w:rPr>
                <w:rFonts w:ascii="Arial" w:cs="Arial" w:eastAsia="Arial" w:hAnsi="Arial"/>
                <w:color w:val="D6E4F0"/>
                <w:sz w:val="24"/>
                <w:szCs w:val="24"/>
              </w:rPr>
              <w:t xml:space="preserve">Predictive Analytics, EDA Findings &amp; Responsible AI Framework</w:t>
            </w:r>
          </w:p>
          <w:p>
            <w:pPr>
              <w:spacing w:after="120" w:before="0"/>
            </w:pPr>
          </w:p>
          <w:p>
            <w:pPr>
              <w:pBdr>
                <w:top w:val="single" w:color="2E5FA3" w:sz="4" w:space="4"/>
              </w:pBdr>
            </w:pPr>
          </w:p>
          <w:p>
            <w:pPr>
              <w:spacing w:after="40" w:before="0"/>
            </w:pPr>
          </w:p>
          <w:p>
            <w:pPr>
              <w:jc w:val="left"/>
            </w:pPr>
            <w:r>
              <w:rPr>
                <w:rFonts w:ascii="Arial" w:cs="Arial" w:eastAsia="Arial" w:hAnsi="Arial"/>
                <w:color w:val="A8C8E8"/>
                <w:sz w:val="20"/>
                <w:szCs w:val="20"/>
              </w:rPr>
              <w:t xml:space="preserve">Prepared: June 2026</w:t>
            </w:r>
          </w:p>
          <w:p>
            <w:pPr>
              <w:jc w:val="left"/>
            </w:pPr>
            <w:r>
              <w:rPr>
                <w:rFonts w:ascii="Arial" w:cs="Arial" w:eastAsia="Arial" w:hAnsi="Arial"/>
                <w:color w:val="666666"/>
                <w:sz w:val="18"/>
                <w:szCs w:val="18"/>
              </w:rPr>
              <w:t xml:space="preserve">Dataset: 500 records, 19 features  |  Model: Logistic Regression  |  Classification: CONFIDENTIAL</w:t>
            </w:r>
          </w:p>
        </w:tc>
      </w:tr>
    </w:tbl>
    <w:p>
      <w:pPr>
        <w:spacing w:after="400" w:before="0"/>
      </w:pPr>
    </w:p>
    <w:p>
      <w:pPr>
        <w:pStyle w:val="Heading1"/>
        <w:pBdr>
          <w:bottom w:val="single" w:color="2E5FA3" w:sz="8" w:space="6"/>
        </w:pBdr>
        <w:spacing w:after="160" w:before="400"/>
      </w:pPr>
      <w:r>
        <w:rPr>
          <w:rFonts w:ascii="Arial" w:cs="Arial" w:eastAsia="Arial" w:hAnsi="Arial"/>
          <w:b/>
          <w:bCs/>
          <w:color w:val="1F3864"/>
          <w:sz w:val="32"/>
          <w:szCs w:val="32"/>
        </w:rPr>
        <w:t xml:space="preserve">Executive Summary</w:t>
      </w:r>
    </w:p>
    <w:p>
      <w:pPr>
        <w:spacing w:after="120" w:before="60"/>
      </w:pPr>
      <w:r>
        <w:rPr>
          <w:rFonts w:ascii="Arial" w:cs="Arial" w:eastAsia="Arial" w:hAnsi="Arial"/>
          <w:color w:val="404040"/>
          <w:sz w:val="22"/>
          <w:szCs w:val="22"/>
        </w:rPr>
        <w:t xml:space="preserve">This report presents the findings of an Exploratory Data Analysis (EDA) and Logistic Regression modelling exercise conducted on Geldium Financial Services’ internal customer dataset. The objective is to identify the principal drivers of credit delinquency, equip the collections team with a data-driven prioritisation framework, and provide a recommendation for proactive risk intervention.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3864"/>
                <w:sz w:val="40"/>
                <w:szCs w:val="40"/>
              </w:rPr>
              <w:t xml:space="preserve">500</w:t>
            </w:r>
          </w:p>
          <w:p>
            <w:pPr>
              <w:jc w:val="center"/>
            </w:pPr>
            <w:r>
              <w:rPr>
                <w:rFonts w:ascii="Arial" w:cs="Arial" w:eastAsia="Arial" w:hAnsi="Arial"/>
                <w:b/>
                <w:bCs/>
                <w:color w:val="2E5FA3"/>
                <w:sz w:val="18"/>
                <w:szCs w:val="18"/>
              </w:rPr>
              <w:t xml:space="preserve">Customer Records</w:t>
            </w:r>
          </w:p>
          <w:p>
            <w:pPr>
              <w:jc w:val="center"/>
            </w:pPr>
            <w:r>
              <w:rPr>
                <w:rFonts w:ascii="Arial" w:cs="Arial" w:eastAsia="Arial" w:hAnsi="Arial"/>
                <w:color w:val="666666"/>
                <w:sz w:val="16"/>
                <w:szCs w:val="16"/>
              </w:rPr>
              <w:t xml:space="preserve">Analysed</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3864"/>
                <w:sz w:val="40"/>
                <w:szCs w:val="40"/>
              </w:rPr>
              <w:t xml:space="preserve">19</w:t>
            </w:r>
          </w:p>
          <w:p>
            <w:pPr>
              <w:jc w:val="center"/>
            </w:pPr>
            <w:r>
              <w:rPr>
                <w:rFonts w:ascii="Arial" w:cs="Arial" w:eastAsia="Arial" w:hAnsi="Arial"/>
                <w:b/>
                <w:bCs/>
                <w:color w:val="2E5FA3"/>
                <w:sz w:val="18"/>
                <w:szCs w:val="18"/>
              </w:rPr>
              <w:t xml:space="preserve">Features</w:t>
            </w:r>
          </w:p>
          <w:p>
            <w:pPr>
              <w:jc w:val="center"/>
            </w:pPr>
            <w:r>
              <w:rPr>
                <w:rFonts w:ascii="Arial" w:cs="Arial" w:eastAsia="Arial" w:hAnsi="Arial"/>
                <w:color w:val="666666"/>
                <w:sz w:val="16"/>
                <w:szCs w:val="16"/>
              </w:rPr>
              <w:t xml:space="preserve">8 numeric, 4 categorical</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3864"/>
                <w:sz w:val="40"/>
                <w:szCs w:val="40"/>
              </w:rPr>
              <w:t xml:space="preserve">16%</w:t>
            </w:r>
          </w:p>
          <w:p>
            <w:pPr>
              <w:jc w:val="center"/>
            </w:pPr>
            <w:r>
              <w:rPr>
                <w:rFonts w:ascii="Arial" w:cs="Arial" w:eastAsia="Arial" w:hAnsi="Arial"/>
                <w:b/>
                <w:bCs/>
                <w:color w:val="2E5FA3"/>
                <w:sz w:val="18"/>
                <w:szCs w:val="18"/>
              </w:rPr>
              <w:t xml:space="preserve">Delinquency Rate</w:t>
            </w:r>
          </w:p>
          <w:p>
            <w:pPr>
              <w:jc w:val="center"/>
            </w:pPr>
            <w:r>
              <w:rPr>
                <w:rFonts w:ascii="Arial" w:cs="Arial" w:eastAsia="Arial" w:hAnsi="Arial"/>
                <w:color w:val="666666"/>
                <w:sz w:val="16"/>
                <w:szCs w:val="16"/>
              </w:rPr>
              <w:t xml:space="preserve">80 delinquent accounts</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3864"/>
                <w:sz w:val="40"/>
                <w:szCs w:val="40"/>
              </w:rPr>
              <w:t xml:space="preserve">70</w:t>
            </w:r>
          </w:p>
          <w:p>
            <w:pPr>
              <w:jc w:val="center"/>
            </w:pPr>
            <w:r>
              <w:rPr>
                <w:rFonts w:ascii="Arial" w:cs="Arial" w:eastAsia="Arial" w:hAnsi="Arial"/>
                <w:b/>
                <w:bCs/>
                <w:color w:val="2E5FA3"/>
                <w:sz w:val="18"/>
                <w:szCs w:val="18"/>
              </w:rPr>
              <w:t xml:space="preserve">Missing Values</w:t>
            </w:r>
          </w:p>
          <w:p>
            <w:pPr>
              <w:jc w:val="center"/>
            </w:pPr>
            <w:r>
              <w:rPr>
                <w:rFonts w:ascii="Arial" w:cs="Arial" w:eastAsia="Arial" w:hAnsi="Arial"/>
                <w:color w:val="666666"/>
                <w:sz w:val="16"/>
                <w:szCs w:val="16"/>
              </w:rPr>
              <w:t xml:space="preserve">3 fields treated</w:t>
            </w:r>
          </w:p>
        </w:tc>
      </w:tr>
    </w:tbl>
    <w:p>
      <w:pPr>
        <w:spacing w:after="160" w:before="0"/>
      </w:pPr>
    </w:p>
    <w:p>
      <w:pPr>
        <w:spacing w:after="120" w:before="60"/>
      </w:pPr>
      <w:r>
        <w:rPr>
          <w:rFonts w:ascii="Arial" w:cs="Arial" w:eastAsia="Arial" w:hAnsi="Arial"/>
          <w:color w:val="404040"/>
          <w:sz w:val="22"/>
          <w:szCs w:val="22"/>
        </w:rPr>
        <w:t xml:space="preserve">Three top-level findings emerged from the analysis:</w:t>
      </w:r>
    </w:p>
    <w:p>
      <w:pPr>
        <w:pStyle w:val="ListParagraph"/>
        <w:numPr>
          <w:ilvl w:val="0"/>
          <w:numId w:val="2"/>
        </w:numPr>
        <w:spacing w:after="60" w:before="40"/>
      </w:pPr>
      <w:r>
        <w:rPr>
          <w:rFonts w:ascii="Arial" w:cs="Arial" w:eastAsia="Arial" w:hAnsi="Arial"/>
          <w:color w:val="404040"/>
          <w:sz w:val="22"/>
          <w:szCs w:val="22"/>
        </w:rPr>
        <w:t xml:space="preserve">Poor payment history is the strongest predictor of future delinquency — past behaviour is a reliable proxy for repayment risk.</w:t>
      </w:r>
    </w:p>
    <w:p>
      <w:pPr>
        <w:pStyle w:val="ListParagraph"/>
        <w:numPr>
          <w:ilvl w:val="0"/>
          <w:numId w:val="2"/>
        </w:numPr>
        <w:spacing w:after="60" w:before="40"/>
      </w:pPr>
      <w:r>
        <w:rPr>
          <w:rFonts w:ascii="Arial" w:cs="Arial" w:eastAsia="Arial" w:hAnsi="Arial"/>
          <w:color w:val="404040"/>
          <w:sz w:val="22"/>
          <w:szCs w:val="22"/>
        </w:rPr>
        <w:t xml:space="preserve">High credit utilisation (60–80%) is associated with a 1.51× increase in delinquency rate, signalling financial pressure before default occurs.</w:t>
      </w:r>
    </w:p>
    <w:p>
      <w:pPr>
        <w:pStyle w:val="ListParagraph"/>
        <w:numPr>
          <w:ilvl w:val="0"/>
          <w:numId w:val="2"/>
        </w:numPr>
        <w:spacing w:after="60" w:before="40"/>
      </w:pPr>
      <w:r>
        <w:rPr>
          <w:rFonts w:ascii="Arial" w:cs="Arial" w:eastAsia="Arial" w:hAnsi="Arial"/>
          <w:color w:val="404040"/>
          <w:sz w:val="22"/>
          <w:szCs w:val="22"/>
        </w:rPr>
        <w:t xml:space="preserve">High debt-to-income ratios (above 40%) produce the clearest structural affordability signal in the dataset, with a 1.94× rate ratio against the baseline.</w:t>
      </w:r>
    </w:p>
    <w:p>
      <w:pPr>
        <w:spacing w:after="120" w:before="0"/>
      </w:pPr>
    </w:p>
    <w:p>
      <w:pPr>
        <w:spacing w:after="120" w:before="60"/>
      </w:pPr>
      <w:r>
        <w:rPr>
          <w:rFonts w:ascii="Arial" w:cs="Arial" w:eastAsia="Arial" w:hAnsi="Arial"/>
          <w:color w:val="404040"/>
          <w:sz w:val="22"/>
          <w:szCs w:val="22"/>
        </w:rPr>
        <w:t xml:space="preserve">The report is structured across five sections: dataset overview and data quality, EDA findings, predictive modelling insights, a SMART recommendation framework, and ethical AI considerations.</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1. Dataset Overview &amp; Data Quality</w:t>
      </w:r>
    </w:p>
    <w:p>
      <w:pPr>
        <w:spacing w:after="120" w:before="60"/>
      </w:pPr>
      <w:r>
        <w:rPr>
          <w:rFonts w:ascii="Arial" w:cs="Arial" w:eastAsia="Arial" w:hAnsi="Arial"/>
          <w:color w:val="404040"/>
          <w:sz w:val="22"/>
          <w:szCs w:val="22"/>
        </w:rPr>
        <w:t xml:space="preserve">The analysis was performed on Geldium’s internal delinquency prediction dataset, comprising 500 customer accounts and 19 features spanning demographic, behavioural, and financial attributes.</w:t>
      </w:r>
    </w:p>
    <w:p>
      <w:pPr>
        <w:spacing w:after="80" w:before="0"/>
      </w:pPr>
    </w:p>
    <w:p>
      <w:pPr>
        <w:pStyle w:val="Heading2"/>
        <w:spacing w:after="120" w:before="280"/>
      </w:pPr>
      <w:r>
        <w:rPr>
          <w:rFonts w:ascii="Arial" w:cs="Arial" w:eastAsia="Arial" w:hAnsi="Arial"/>
          <w:b/>
          <w:bCs/>
          <w:color w:val="2E5FA3"/>
          <w:sz w:val="26"/>
          <w:szCs w:val="26"/>
        </w:rPr>
        <w:t xml:space="preserve">1.1 Dataset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Records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500 customer accounts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Total features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19 — 8 numeric, 4 categorical, 6 payment history months, 1 binary target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Target variable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Delinquent_Account (0 = no, 1 = 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Delinquency 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16% — 80 delinquent accounts / 420 non-delinquent (84/16 class imbalance)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Missing values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70 across 3 fields: Income, Loan_Balance, Credit_Score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Numeric features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Age, Income, Credit_Score, Credit_Utilization, Missed_Payments, Loan_Balance, Debt_to_Income_Ratio, Account_Tenure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Categorical features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Employment_Status, Credit_Card_Type, Location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Payment history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Month_1 through Month_6 (values: On-time, Late, Missed)</w:t>
            </w:r>
          </w:p>
        </w:tc>
      </w:tr>
    </w:tbl>
    <w:p>
      <w:pPr>
        <w:spacing w:after="160" w:before="0"/>
      </w:pPr>
    </w:p>
    <w:p>
      <w:pPr>
        <w:pStyle w:val="Heading2"/>
        <w:spacing w:after="120" w:before="280"/>
      </w:pPr>
      <w:r>
        <w:rPr>
          <w:rFonts w:ascii="Arial" w:cs="Arial" w:eastAsia="Arial" w:hAnsi="Arial"/>
          <w:b/>
          <w:bCs/>
          <w:color w:val="2E5FA3"/>
          <w:sz w:val="26"/>
          <w:szCs w:val="26"/>
        </w:rPr>
        <w:t xml:space="preserve">1.2 Missing Data Analysis &amp; Treatment</w:t>
      </w:r>
    </w:p>
    <w:p>
      <w:pPr>
        <w:spacing w:after="120" w:before="60"/>
      </w:pPr>
      <w:r>
        <w:rPr>
          <w:rFonts w:ascii="Arial" w:cs="Arial" w:eastAsia="Arial" w:hAnsi="Arial"/>
          <w:color w:val="404040"/>
          <w:sz w:val="22"/>
          <w:szCs w:val="22"/>
        </w:rPr>
        <w:t xml:space="preserve">Seventy missing values were identified across three fields. Each field was treated according to its missingness mechanism and financial significance, using statistically appropriate methods to preserve distributional integrity.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Missing</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Treatment Applied</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Income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39 (7.8%)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MCAR confirmed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Group median by Employment_Status. T-tests across all observed variables returned p-values above 0.22, confirming MCAR. Stratified imputation captures economically relevant income variation by employment group.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Loan_Balance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29 (5.8%)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Possible MAR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MICE (Multiple Imputation by Chained Equations). Missing rows carry a 24.1% delinquency rate vs 15.5% for present rows — an 8.6pp gap suggesting missingness is risk-related. Distribution preservation: mean shifted by £1, skew preserved at 0.108.</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Credit_Score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2 (0.4%)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MCAR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Global median (586). Only 2 records affected; distribution near-symmetric (skew −0.034). Proportionate to the scale of the problem.</w:t>
            </w:r>
          </w:p>
        </w:tc>
      </w:tr>
    </w:tbl>
    <w:p>
      <w:pPr>
        <w:spacing w:after="160" w:before="0"/>
      </w:pPr>
    </w:p>
    <w:p>
      <w:pPr>
        <w:pStyle w:val="Heading2"/>
        <w:spacing w:after="120" w:before="280"/>
      </w:pPr>
      <w:r>
        <w:rPr>
          <w:rFonts w:ascii="Arial" w:cs="Arial" w:eastAsia="Arial" w:hAnsi="Arial"/>
          <w:b/>
          <w:bCs/>
          <w:color w:val="2E5FA3"/>
          <w:sz w:val="26"/>
          <w:szCs w:val="26"/>
        </w:rPr>
        <w:t xml:space="preserve">1.3 Data Quality Corrections</w:t>
      </w:r>
    </w:p>
    <w:p>
      <w:pPr>
        <w:spacing w:after="120" w:before="60"/>
      </w:pPr>
      <w:r>
        <w:rPr>
          <w:rFonts w:ascii="Arial" w:cs="Arial" w:eastAsia="Arial" w:hAnsi="Arial"/>
          <w:color w:val="404040"/>
          <w:sz w:val="22"/>
          <w:szCs w:val="22"/>
        </w:rPr>
        <w:t xml:space="preserve">Three systemic data quality issues were identified and corrected prior to modelling:</w:t>
      </w:r>
    </w:p>
    <w:p>
      <w:pPr>
        <w:spacing w:after="60" w:before="0"/>
      </w:pPr>
    </w:p>
    <w:p>
      <w:pPr>
        <w:pStyle w:val="ListParagraph"/>
        <w:numPr>
          <w:ilvl w:val="0"/>
          <w:numId w:val="2"/>
        </w:numPr>
        <w:spacing w:after="60" w:before="40"/>
      </w:pPr>
      <w:r>
        <w:rPr>
          <w:rFonts w:ascii="Arial" w:cs="Arial" w:eastAsia="Arial" w:hAnsi="Arial"/>
          <w:b/>
          <w:bCs/>
          <w:color w:val="404040"/>
          <w:sz w:val="22"/>
          <w:szCs w:val="22"/>
        </w:rPr>
        <w:t xml:space="preserve">Dirty Categorical Encoding: </w:t>
      </w:r>
      <w:r>
        <w:rPr>
          <w:rFonts w:ascii="Arial" w:cs="Arial" w:eastAsia="Arial" w:hAnsi="Arial"/>
          <w:color w:val="404040"/>
          <w:sz w:val="22"/>
          <w:szCs w:val="22"/>
        </w:rPr>
        <w:t xml:space="preserve">"Employment_Status" contained three labels for the same group — "Employed", "EMP", and "employed" — covering 240 records. All three were normalised to a single canonical label. Without correction, a model would learn spurious differences between identical groups.</w:t>
      </w:r>
    </w:p>
    <w:p>
      <w:pPr>
        <w:pStyle w:val="ListParagraph"/>
        <w:numPr>
          <w:ilvl w:val="0"/>
          <w:numId w:val="2"/>
        </w:numPr>
        <w:spacing w:after="60" w:before="40"/>
      </w:pPr>
      <w:r>
        <w:rPr>
          <w:rFonts w:ascii="Arial" w:cs="Arial" w:eastAsia="Arial" w:hAnsi="Arial"/>
          <w:b/>
          <w:bCs/>
          <w:color w:val="404040"/>
          <w:sz w:val="22"/>
          <w:szCs w:val="22"/>
        </w:rPr>
        <w:t xml:space="preserve">Out-of-Range Credit Utilization: </w:t>
      </w:r>
      <w:r>
        <w:rPr>
          <w:rFonts w:ascii="Arial" w:cs="Arial" w:eastAsia="Arial" w:hAnsi="Arial"/>
          <w:color w:val="404040"/>
          <w:sz w:val="22"/>
          <w:szCs w:val="22"/>
        </w:rPr>
        <w:t xml:space="preserve">4 records had Credit_Utilization above 1.0 (a ratio field bounded 0–1; max observed: 1.026). These are data entry or source system calculation errors. All 4 were capped at 1.0. Root cause has been flagged for upstream investigation.</w:t>
      </w:r>
    </w:p>
    <w:p>
      <w:pPr>
        <w:pStyle w:val="ListParagraph"/>
        <w:numPr>
          <w:ilvl w:val="0"/>
          <w:numId w:val="2"/>
        </w:numPr>
        <w:spacing w:after="60" w:before="40"/>
      </w:pPr>
      <w:r>
        <w:rPr>
          <w:rFonts w:ascii="Arial" w:cs="Arial" w:eastAsia="Arial" w:hAnsi="Arial"/>
          <w:b/>
          <w:bCs/>
          <w:color w:val="404040"/>
          <w:sz w:val="22"/>
          <w:szCs w:val="22"/>
        </w:rPr>
        <w:t xml:space="preserve">Class Imbalance: </w:t>
      </w:r>
      <w:r>
        <w:rPr>
          <w:rFonts w:ascii="Arial" w:cs="Arial" w:eastAsia="Arial" w:hAnsi="Arial"/>
          <w:color w:val="404040"/>
          <w:sz w:val="22"/>
          <w:szCs w:val="22"/>
        </w:rPr>
        <w:t xml:space="preserve">The 84/16 target split means standard accuracy metrics are misleading. A model predicting all customers as non-delinquent would achieve 84% accuracy trivially. Evaluation must use F1-score and AUC-PR throughout.</w:t>
      </w:r>
    </w:p>
    <w:p>
      <w:pPr>
        <w:spacing w:after="100" w:before="0"/>
      </w:pPr>
    </w:p>
    <w:p>
      <w:pPr>
        <w:pBdr>
          <w:left w:val="single" w:color="2E5FA3" w:sz="16"/>
        </w:pBdr>
        <w:shd w:fill="D6E4F0" w:val="clear"/>
        <w:spacing w:after="60" w:before="60"/>
        <w:ind w:left="200" w:right="200"/>
      </w:pPr>
      <w:r>
        <w:rPr>
          <w:rFonts w:ascii="Arial" w:cs="Arial" w:eastAsia="Arial" w:hAnsi="Arial"/>
          <w:i/>
          <w:iCs/>
          <w:color w:val="404040"/>
          <w:sz w:val="20"/>
          <w:szCs w:val="20"/>
        </w:rPr>
        <w:t xml:space="preserve">Post-treatment result: 0 missing values remaining across all fields. Employment_Status reduced from 6 labels to 4 clean categories. Credit_Utilization bounded within the valid 0–1 range.</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2. EDA Findings: Risk Indicators &amp; Patterns</w:t>
      </w:r>
    </w:p>
    <w:p>
      <w:pPr>
        <w:spacing w:after="120" w:before="60"/>
      </w:pPr>
      <w:r>
        <w:rPr>
          <w:rFonts w:ascii="Arial" w:cs="Arial" w:eastAsia="Arial" w:hAnsi="Arial"/>
          <w:color w:val="404040"/>
          <w:sz w:val="22"/>
          <w:szCs w:val="22"/>
        </w:rPr>
        <w:t xml:space="preserve">This section identifies trends, patterns, and risk indicators uncovered during exploratory analysis. All point-biserial correlations between numeric features and the delinquency target are below 0.045, confirming that risk signal is non-linear and resides in feature combinations rather than individual variables.</w:t>
      </w:r>
    </w:p>
    <w:p>
      <w:pPr>
        <w:spacing w:after="80" w:before="0"/>
      </w:pPr>
    </w:p>
    <w:p>
      <w:pPr>
        <w:pStyle w:val="Heading2"/>
        <w:spacing w:after="120" w:before="280"/>
      </w:pPr>
      <w:r>
        <w:rPr>
          <w:rFonts w:ascii="Arial" w:cs="Arial" w:eastAsia="Arial" w:hAnsi="Arial"/>
          <w:b/>
          <w:bCs/>
          <w:color w:val="2E5FA3"/>
          <w:sz w:val="26"/>
          <w:szCs w:val="26"/>
        </w:rPr>
        <w:t xml:space="preserve">2.1 High-Risk Segments: Rate Ratio Analysis</w:t>
      </w:r>
    </w:p>
    <w:p>
      <w:pPr>
        <w:spacing w:after="120" w:before="60"/>
      </w:pPr>
      <w:r>
        <w:rPr>
          <w:rFonts w:ascii="Arial" w:cs="Arial" w:eastAsia="Arial" w:hAnsi="Arial"/>
          <w:color w:val="404040"/>
          <w:sz w:val="22"/>
          <w:szCs w:val="22"/>
        </w:rPr>
        <w:t xml:space="preserve">The following table presents categorical and banded risk indicators ranked by delinquency rate ratio against the 16% baseline. A rate ratio above 1.5× indicates a materially elevated risk segment for intervention targeting.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40"/>
        <w:gridCol w:w="372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Indicator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Delinquency Rate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Rate Ratio</w:t>
            </w:r>
          </w:p>
        </w:tc>
        <w:tc>
          <w:tcPr>
            <w:tcW w:type="dxa" w:w="3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Interpretation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DTI ratio above 40%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18.9%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0000"/>
                <w:sz w:val="20"/>
                <w:szCs w:val="20"/>
              </w:rPr>
              <w:t xml:space="preserve">1.94×</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spending over 40p per £1 of income on debt have nearly double the baseline rate — the clearest structural affordability signal.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Business credit card type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21.3%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0000"/>
                <w:sz w:val="20"/>
                <w:szCs w:val="20"/>
              </w:rPr>
              <w:t xml:space="preserve">1.80×</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Business card holders present the highest delinquency rate, likely reflecting cash-flow volatility and irregular income among self-employed customers.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Unemployed status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19.4%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C00000"/>
                <w:sz w:val="20"/>
                <w:szCs w:val="20"/>
              </w:rPr>
              <w:t xml:space="preserve">1.68×</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Absence of regular income directly undermines repayment capacity. Unemployment is the highest-risk employment status in the dataset.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Los Angeles location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19.6%</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A3"/>
                <w:sz w:val="20"/>
                <w:szCs w:val="20"/>
              </w:rPr>
              <w:t xml:space="preserve">1.64×</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LA customers have the highest delinquency rate of any city; location likely proxies for local cost-of-living pressure.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New account tenure (0–2 years)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20.8%</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A3"/>
                <w:sz w:val="20"/>
                <w:szCs w:val="20"/>
              </w:rPr>
              <w:t xml:space="preserve">1.53×</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Recently onboarded customers have not yet demonstrated stable repayment behaviour and may have been acquired under looser underwriting criteria.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Credit utilisation 60–80%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18.1%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A3"/>
                <w:sz w:val="20"/>
                <w:szCs w:val="20"/>
              </w:rPr>
              <w:t xml:space="preserve">1.51×</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drawing heavily on available credit signal material financial pressure.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Age band 41–55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18.7%</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A3"/>
                <w:sz w:val="20"/>
                <w:szCs w:val="20"/>
              </w:rPr>
              <w:t xml:space="preserve">1.53×</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Likely reflecting peak debt-load years (mortgages, school fees, elder care) compressing disposable income despite typically higher earnings.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Student credit card type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17.9%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5FA3"/>
                <w:sz w:val="20"/>
                <w:szCs w:val="20"/>
              </w:rPr>
              <w:t xml:space="preserve">1.52×</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Student card holders are typically younger with thinner credit histories and less income stability. A distinct intervention target from Business card holders.</w:t>
            </w:r>
          </w:p>
        </w:tc>
      </w:tr>
    </w:tbl>
    <w:p>
      <w:pPr>
        <w:spacing w:after="160" w:before="0"/>
      </w:pPr>
    </w:p>
    <w:p>
      <w:pPr>
        <w:pStyle w:val="Heading2"/>
        <w:spacing w:after="120" w:before="280"/>
      </w:pPr>
      <w:r>
        <w:rPr>
          <w:rFonts w:ascii="Arial" w:cs="Arial" w:eastAsia="Arial" w:hAnsi="Arial"/>
          <w:b/>
          <w:bCs/>
          <w:color w:val="2E5FA3"/>
          <w:sz w:val="26"/>
          <w:szCs w:val="26"/>
        </w:rPr>
        <w:t xml:space="preserve">2.2 Numeric Feature Correlations</w:t>
      </w:r>
    </w:p>
    <w:p>
      <w:pPr>
        <w:spacing w:after="120" w:before="60"/>
      </w:pPr>
      <w:r>
        <w:rPr>
          <w:rFonts w:ascii="Arial" w:cs="Arial" w:eastAsia="Arial" w:hAnsi="Arial"/>
          <w:color w:val="404040"/>
          <w:sz w:val="22"/>
          <w:szCs w:val="22"/>
        </w:rPr>
        <w:t xml:space="preserve">All point-biserial correlations between numeric features and the target (Delinquent_Account) fall below 0.045, and none are statistically significant (all p-values above 0.32). Key directional findings are summarised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Correlation (r)</w:t>
            </w:r>
          </w:p>
        </w:tc>
        <w:tc>
          <w:tcPr>
            <w:tcW w:type="dxa" w:w="5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Income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+0.044</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Highest correlation but not significant. Higher incomes may reflect higher borrowing levels rather than lower risk.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Account_Tenure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−0.040</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Longer-established customers are marginally less likely to be delinquent — consistent with the new-account risk pattern.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Debt_to_Income_Ratio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+0.034</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Directionally correct with industry expectation but statistically weak at this sample size.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Credit_Utilization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+0.034</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Directionally expected. The reversal above 80% warrants further investigation (see anomalies below).</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Loan_Balance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404040"/>
                <w:sz w:val="20"/>
                <w:szCs w:val="20"/>
              </w:rPr>
              <w:t xml:space="preserve">−0.004</w:t>
            </w:r>
          </w:p>
        </w:tc>
        <w:tc>
          <w:tcPr>
            <w:tcW w:type="dxa" w:w="5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Effectively uncorrelated. Loan size alone does not drive delinquency without context on income and payment behaviour.</w:t>
            </w:r>
          </w:p>
        </w:tc>
      </w:tr>
    </w:tbl>
    <w:p>
      <w:pPr>
        <w:spacing w:after="160" w:before="0"/>
      </w:pPr>
    </w:p>
    <w:p>
      <w:pPr>
        <w:pStyle w:val="Heading2"/>
        <w:spacing w:after="120" w:before="280"/>
      </w:pPr>
      <w:r>
        <w:rPr>
          <w:rFonts w:ascii="Arial" w:cs="Arial" w:eastAsia="Arial" w:hAnsi="Arial"/>
          <w:b/>
          <w:bCs/>
          <w:color w:val="2E5FA3"/>
          <w:sz w:val="26"/>
          <w:szCs w:val="26"/>
        </w:rPr>
        <w:t xml:space="preserve">2.3 Anomalies Requiring Further Investigation</w:t>
      </w:r>
    </w:p>
    <w:p>
      <w:pPr>
        <w:spacing w:after="120" w:before="60"/>
      </w:pPr>
      <w:r>
        <w:rPr>
          <w:rFonts w:ascii="Arial" w:cs="Arial" w:eastAsia="Arial" w:hAnsi="Arial"/>
          <w:color w:val="404040"/>
          <w:sz w:val="22"/>
          <w:szCs w:val="22"/>
        </w:rPr>
        <w:t xml:space="preserve">Four unexpected patterns were identified that have material implications for model design and data governance:</w:t>
      </w:r>
    </w:p>
    <w:p>
      <w:pPr>
        <w:spacing w:after="80" w:before="0"/>
      </w:pPr>
    </w:p>
    <w:p>
      <w:pPr>
        <w:pStyle w:val="ListParagraph"/>
        <w:numPr>
          <w:ilvl w:val="0"/>
          <w:numId w:val="2"/>
        </w:numPr>
        <w:spacing w:after="60" w:before="40"/>
      </w:pPr>
      <w:r>
        <w:rPr>
          <w:rFonts w:ascii="Arial" w:cs="Arial" w:eastAsia="Arial" w:hAnsi="Arial"/>
          <w:b/>
          <w:bCs/>
          <w:color w:val="404040"/>
          <w:sz w:val="22"/>
          <w:szCs w:val="22"/>
        </w:rPr>
        <w:t xml:space="preserve">Missed_Payments vs. miss_count_6m (r = 0.007): </w:t>
      </w:r>
      <w:r>
        <w:rPr>
          <w:rFonts w:ascii="Arial" w:cs="Arial" w:eastAsia="Arial" w:hAnsi="Arial"/>
          <w:color w:val="404040"/>
          <w:sz w:val="22"/>
          <w:szCs w:val="22"/>
        </w:rPr>
        <w:t xml:space="preserve">The Missed_Payments field and the derived miss_count_6m variable are statistically independent (r = 0.007), yet both purport to measure missed payment behaviour. This strongly suggests the two fields operate on different time windows or definitions. Missed_Payments should be excluded from modelling until its source definition is confirmed.</w:t>
      </w:r>
    </w:p>
    <w:p>
      <w:pPr>
        <w:pStyle w:val="ListParagraph"/>
        <w:numPr>
          <w:ilvl w:val="0"/>
          <w:numId w:val="2"/>
        </w:numPr>
        <w:spacing w:after="60" w:before="40"/>
      </w:pPr>
      <w:r>
        <w:rPr>
          <w:rFonts w:ascii="Arial" w:cs="Arial" w:eastAsia="Arial" w:hAnsi="Arial"/>
          <w:b/>
          <w:bCs/>
          <w:color w:val="404040"/>
          <w:sz w:val="22"/>
          <w:szCs w:val="22"/>
        </w:rPr>
        <w:t xml:space="preserve">Non-Monotonic Account Tenure (U-shaped pattern): </w:t>
      </w:r>
      <w:r>
        <w:rPr>
          <w:rFonts w:ascii="Arial" w:cs="Arial" w:eastAsia="Arial" w:hAnsi="Arial"/>
          <w:color w:val="404040"/>
          <w:sz w:val="22"/>
          <w:szCs w:val="22"/>
        </w:rPr>
        <w:t xml:space="preserve">Both new accounts (0–2yr: 20.8%) and mid-tenure accounts (6–10yr: 19.7%) show elevated risk, while 3–5yr and 11+yr accounts are lower. A linear tenure coefficient would miss this pattern. Model implementation should use banded tenure categories or a polynomial term.</w:t>
      </w:r>
    </w:p>
    <w:p>
      <w:pPr>
        <w:pStyle w:val="ListParagraph"/>
        <w:numPr>
          <w:ilvl w:val="0"/>
          <w:numId w:val="2"/>
        </w:numPr>
        <w:spacing w:after="60" w:before="40"/>
      </w:pPr>
      <w:r>
        <w:rPr>
          <w:rFonts w:ascii="Arial" w:cs="Arial" w:eastAsia="Arial" w:hAnsi="Arial"/>
          <w:b/>
          <w:bCs/>
          <w:color w:val="404040"/>
          <w:sz w:val="22"/>
          <w:szCs w:val="22"/>
        </w:rPr>
        <w:t xml:space="preserve">Credit Utilisation Reversal above 80%: </w:t>
      </w:r>
      <w:r>
        <w:rPr>
          <w:rFonts w:ascii="Arial" w:cs="Arial" w:eastAsia="Arial" w:hAnsi="Arial"/>
          <w:color w:val="404040"/>
          <w:sz w:val="22"/>
          <w:szCs w:val="22"/>
        </w:rPr>
        <w:t xml:space="preserve">Delinquency rate drops from 18.1% at 60–80% utilisation to 15.2% above 80%. In real-world credit data, very high utilisation almost always correlates with higher delinquency. This reversal may indicate existing credit limit interventions on high-utilisation accounts, or it may be a sample-size artefact (only 33 records in the &gt;80% band).</w:t>
      </w:r>
    </w:p>
    <w:p>
      <w:pPr>
        <w:pStyle w:val="ListParagraph"/>
        <w:numPr>
          <w:ilvl w:val="0"/>
          <w:numId w:val="2"/>
        </w:numPr>
        <w:spacing w:after="60" w:before="40"/>
      </w:pPr>
      <w:r>
        <w:rPr>
          <w:rFonts w:ascii="Arial" w:cs="Arial" w:eastAsia="Arial" w:hAnsi="Arial"/>
          <w:b/>
          <w:bCs/>
          <w:color w:val="404040"/>
          <w:sz w:val="22"/>
          <w:szCs w:val="22"/>
        </w:rPr>
        <w:t xml:space="preserve">Non-Significant Categorical Chi-Square Tests: </w:t>
      </w:r>
      <w:r>
        <w:rPr>
          <w:rFonts w:ascii="Arial" w:cs="Arial" w:eastAsia="Arial" w:hAnsi="Arial"/>
          <w:color w:val="404040"/>
          <w:sz w:val="22"/>
          <w:szCs w:val="22"/>
        </w:rPr>
        <w:t xml:space="preserve">Despite visible rate spreads of 7–9 percentage points, chi-square tests for Employment_Status (p=0.55), Credit_Card_Type (p=0.35), and Location (p=0.66) are all non-significant. With only 80 positive cases across 500 records, the dataset lacks statistical power. These findings must be validated on a larger dataset before hard-coding as model features.</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3. Predictive Modelling: Key Insights</w:t>
      </w:r>
    </w:p>
    <w:p>
      <w:pPr>
        <w:spacing w:after="120" w:before="60"/>
      </w:pPr>
      <w:r>
        <w:rPr>
          <w:rFonts w:ascii="Arial" w:cs="Arial" w:eastAsia="Arial" w:hAnsi="Arial"/>
          <w:color w:val="404040"/>
          <w:sz w:val="22"/>
          <w:szCs w:val="22"/>
        </w:rPr>
        <w:t xml:space="preserve">Building on the EDA findings, a Logistic Regression model was applied to assess the relative predictive weight of the identified risk factors. The model confirmed the following hierarchy of delinquency drivers.</w:t>
      </w:r>
    </w:p>
    <w:p>
      <w:pPr>
        <w:spacing w:after="80" w:before="0"/>
      </w:pPr>
    </w:p>
    <w:p>
      <w:pPr>
        <w:pStyle w:val="Heading2"/>
        <w:spacing w:after="120" w:before="280"/>
      </w:pPr>
      <w:r>
        <w:rPr>
          <w:rFonts w:ascii="Arial" w:cs="Arial" w:eastAsia="Arial" w:hAnsi="Arial"/>
          <w:b/>
          <w:bCs/>
          <w:color w:val="2E5FA3"/>
          <w:sz w:val="26"/>
          <w:szCs w:val="26"/>
        </w:rPr>
        <w:t xml:space="preserve">3.1 Top Predictive Risk Factors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2200"/>
        <w:gridCol w:w="4000"/>
      </w:tblGrid>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Rank</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Factor</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Affected Segment</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Predictive Significance</w:t>
            </w:r>
          </w:p>
        </w:tc>
      </w:tr>
      <w:tr>
        <w:tc>
          <w:tcPr>
            <w:tcW w:type="dxa" w:w="56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Poor Payment History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with previous late or missed payments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Strongest predictor. Past payment behaviour is the most reliable indicator of future repayment performance.</w:t>
            </w:r>
          </w:p>
        </w:tc>
      </w:tr>
      <w:tr>
        <w:tc>
          <w:tcPr>
            <w:tcW w:type="dxa" w:w="56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High Credit Utilization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using &gt;60% of available credit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Second strongest predictor. Customers consistently drawing on large proportions of available credit face greater financial stress.</w:t>
            </w:r>
          </w:p>
        </w:tc>
      </w:tr>
      <w:tr>
        <w:tc>
          <w:tcPr>
            <w:tcW w:type="dxa" w:w="560"/>
            <w:tcBorders>
              <w:top w:val="single" w:color="CCCCCC" w:sz="1"/>
              <w:left w:val="single" w:color="CCCCCC" w:sz="1"/>
              <w:bottom w:val="single" w:color="CCCCCC" w:sz="1"/>
              <w:right w:val="single" w:color="CCCCCC" w:sz="1"/>
            </w:tcBorders>
            <w:shd w:fill="A8C8E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High Debt-to-Income Ratio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with DTI &gt;40%</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Third strongest predictor. Customers with excessive debt obligations relative to income struggle to meet repayment commitments.</w:t>
            </w:r>
          </w:p>
        </w:tc>
      </w:tr>
    </w:tbl>
    <w:p>
      <w:pPr>
        <w:spacing w:after="160" w:before="0"/>
      </w:pPr>
    </w:p>
    <w:p>
      <w:pPr>
        <w:pStyle w:val="Heading2"/>
        <w:spacing w:after="120" w:before="280"/>
      </w:pPr>
      <w:r>
        <w:rPr>
          <w:rFonts w:ascii="Arial" w:cs="Arial" w:eastAsia="Arial" w:hAnsi="Arial"/>
          <w:b/>
          <w:bCs/>
          <w:color w:val="2E5FA3"/>
          <w:sz w:val="26"/>
          <w:szCs w:val="26"/>
        </w:rPr>
        <w:t xml:space="preserve">3.2 Predictive Insight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Insight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Customer Segment</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Influencing Variables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Potential Impact</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High delinquency risk among financially stressed customers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with high credit utilisation and previous missed payments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Payment History, Credit Utilization, Debt-to-Income Ratio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Enables early intervention and risk reduction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Past payment behaviour predicts future delinquency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with previous late or missed payments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Payment History, Previous Delinquencies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Improves collections prioritisation</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High debt burden increases repayment challenges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Customers with high debt relative to income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Debt-to-Income Ratio, Annual Income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Supports better credit risk assessment</w:t>
            </w:r>
          </w:p>
        </w:tc>
      </w:tr>
    </w:tbl>
    <w:p>
      <w:pPr>
        <w:spacing w:after="160" w:before="0"/>
      </w:pPr>
    </w:p>
    <w:p>
      <w:pPr>
        <w:pStyle w:val="Heading2"/>
        <w:spacing w:after="120" w:before="280"/>
      </w:pPr>
      <w:r>
        <w:rPr>
          <w:rFonts w:ascii="Arial" w:cs="Arial" w:eastAsia="Arial" w:hAnsi="Arial"/>
          <w:b/>
          <w:bCs/>
          <w:color w:val="2E5FA3"/>
          <w:sz w:val="26"/>
          <w:szCs w:val="26"/>
        </w:rPr>
        <w:t xml:space="preserve">3.3 Modelling Considerations</w:t>
      </w:r>
    </w:p>
    <w:p>
      <w:pPr>
        <w:spacing w:after="120" w:before="60"/>
      </w:pPr>
      <w:r>
        <w:rPr>
          <w:rFonts w:ascii="Arial" w:cs="Arial" w:eastAsia="Arial" w:hAnsi="Arial"/>
          <w:color w:val="404040"/>
          <w:sz w:val="22"/>
          <w:szCs w:val="22"/>
        </w:rPr>
        <w:t xml:space="preserve">The following technical considerations should guide the next phase of model development:</w:t>
      </w:r>
    </w:p>
    <w:p>
      <w:pPr>
        <w:spacing w:after="60" w:before="0"/>
      </w:pPr>
    </w:p>
    <w:p>
      <w:pPr>
        <w:pStyle w:val="ListParagraph"/>
        <w:numPr>
          <w:ilvl w:val="0"/>
          <w:numId w:val="2"/>
        </w:numPr>
        <w:spacing w:after="60" w:before="40"/>
      </w:pPr>
      <w:r>
        <w:rPr>
          <w:rFonts w:ascii="Arial" w:cs="Arial" w:eastAsia="Arial" w:hAnsi="Arial"/>
          <w:b/>
          <w:bCs/>
          <w:color w:val="404040"/>
          <w:sz w:val="22"/>
          <w:szCs w:val="22"/>
        </w:rPr>
        <w:t xml:space="preserve">Model Selection: </w:t>
      </w:r>
      <w:r>
        <w:rPr>
          <w:rFonts w:ascii="Arial" w:cs="Arial" w:eastAsia="Arial" w:hAnsi="Arial"/>
          <w:color w:val="404040"/>
          <w:sz w:val="22"/>
          <w:szCs w:val="22"/>
        </w:rPr>
        <w:t xml:space="preserve">Tree-based models (XGBoost, Random Forest, LightGBM) are preferred over standard logistic regression to capture non-linear relationships. All numeric correlations are below 0.045, confirming the risk signal is interaction-based.</w:t>
      </w:r>
    </w:p>
    <w:p>
      <w:pPr>
        <w:pStyle w:val="ListParagraph"/>
        <w:numPr>
          <w:ilvl w:val="0"/>
          <w:numId w:val="2"/>
        </w:numPr>
        <w:spacing w:after="60" w:before="40"/>
      </w:pPr>
      <w:r>
        <w:rPr>
          <w:rFonts w:ascii="Arial" w:cs="Arial" w:eastAsia="Arial" w:hAnsi="Arial"/>
          <w:b/>
          <w:bCs/>
          <w:color w:val="404040"/>
          <w:sz w:val="22"/>
          <w:szCs w:val="22"/>
        </w:rPr>
        <w:t xml:space="preserve">Class Imbalance: </w:t>
      </w:r>
      <w:r>
        <w:rPr>
          <w:rFonts w:ascii="Arial" w:cs="Arial" w:eastAsia="Arial" w:hAnsi="Arial"/>
          <w:color w:val="404040"/>
          <w:sz w:val="22"/>
          <w:szCs w:val="22"/>
        </w:rPr>
        <w:t xml:space="preserve">Apply SMOTE oversampling or class-weight adjustments to address the 84/16 class imbalance before training. Standard accuracy is not a valid metric in this context.</w:t>
      </w:r>
    </w:p>
    <w:p>
      <w:pPr>
        <w:pStyle w:val="ListParagraph"/>
        <w:numPr>
          <w:ilvl w:val="0"/>
          <w:numId w:val="2"/>
        </w:numPr>
        <w:spacing w:after="60" w:before="40"/>
      </w:pPr>
      <w:r>
        <w:rPr>
          <w:rFonts w:ascii="Arial" w:cs="Arial" w:eastAsia="Arial" w:hAnsi="Arial"/>
          <w:b/>
          <w:bCs/>
          <w:color w:val="404040"/>
          <w:sz w:val="22"/>
          <w:szCs w:val="22"/>
        </w:rPr>
        <w:t xml:space="preserve">Feature Engineering: </w:t>
      </w:r>
      <w:r>
        <w:rPr>
          <w:rFonts w:ascii="Arial" w:cs="Arial" w:eastAsia="Arial" w:hAnsi="Arial"/>
          <w:color w:val="404040"/>
          <w:sz w:val="22"/>
          <w:szCs w:val="22"/>
        </w:rPr>
        <w:t xml:space="preserve">Derive miss_count_6m, late_count_6m, recent_miss_streak, and payment_volatility from the six monthly payment columns. Band Account_Tenure into four categories. Create DTI threshold indicators.</w:t>
      </w:r>
    </w:p>
    <w:p>
      <w:pPr>
        <w:pStyle w:val="ListParagraph"/>
        <w:numPr>
          <w:ilvl w:val="0"/>
          <w:numId w:val="2"/>
        </w:numPr>
        <w:spacing w:after="60" w:before="40"/>
      </w:pPr>
      <w:r>
        <w:rPr>
          <w:rFonts w:ascii="Arial" w:cs="Arial" w:eastAsia="Arial" w:hAnsi="Arial"/>
          <w:b/>
          <w:bCs/>
          <w:color w:val="404040"/>
          <w:sz w:val="22"/>
          <w:szCs w:val="22"/>
        </w:rPr>
        <w:t xml:space="preserve">Evaluation Framework: </w:t>
      </w:r>
      <w:r>
        <w:rPr>
          <w:rFonts w:ascii="Arial" w:cs="Arial" w:eastAsia="Arial" w:hAnsi="Arial"/>
          <w:color w:val="404040"/>
          <w:sz w:val="22"/>
          <w:szCs w:val="22"/>
        </w:rPr>
        <w:t xml:space="preserve">Use stratified cross-validation, F1-score, and AUC-PR as primary evaluation metrics.</w:t>
      </w:r>
    </w:p>
    <w:p>
      <w:pPr>
        <w:pStyle w:val="ListParagraph"/>
        <w:numPr>
          <w:ilvl w:val="0"/>
          <w:numId w:val="2"/>
        </w:numPr>
        <w:spacing w:after="60" w:before="40"/>
      </w:pPr>
      <w:r>
        <w:rPr>
          <w:rFonts w:ascii="Arial" w:cs="Arial" w:eastAsia="Arial" w:hAnsi="Arial"/>
          <w:b/>
          <w:bCs/>
          <w:color w:val="404040"/>
          <w:sz w:val="22"/>
          <w:szCs w:val="22"/>
        </w:rPr>
        <w:t xml:space="preserve">Validation Requirement: </w:t>
      </w:r>
      <w:r>
        <w:rPr>
          <w:rFonts w:ascii="Arial" w:cs="Arial" w:eastAsia="Arial" w:hAnsi="Arial"/>
          <w:color w:val="404040"/>
          <w:sz w:val="22"/>
          <w:szCs w:val="22"/>
        </w:rPr>
        <w:t xml:space="preserve">All categorical rate spreads are directionally correct but non-significant given the sample size. Findings should be validated on a dataset of at least 2,000 records with 300+ positive cases before production deployment.</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4. Recommendation Framework</w:t>
      </w:r>
    </w:p>
    <w:p>
      <w:pPr>
        <w:spacing w:after="120" w:before="60"/>
      </w:pPr>
      <w:r>
        <w:rPr>
          <w:rFonts w:ascii="Arial" w:cs="Arial" w:eastAsia="Arial" w:hAnsi="Arial"/>
          <w:color w:val="404040"/>
          <w:sz w:val="22"/>
          <w:szCs w:val="22"/>
        </w:rPr>
        <w:t xml:space="preserve">Based on the EDA and modelling findings, the following SMART recommendation is proposed for Geldium’s Collections team.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color w:val="2E5FA3"/>
                <w:sz w:val="18"/>
                <w:szCs w:val="18"/>
              </w:rPr>
              <w:t xml:space="preserve">Core Insight</w:t>
            </w:r>
          </w:p>
          <w:p>
            <w:r>
              <w:rPr>
                <w:rFonts w:ascii="Arial" w:cs="Arial" w:eastAsia="Arial" w:hAnsi="Arial"/>
                <w:color w:val="404040"/>
                <w:sz w:val="22"/>
                <w:szCs w:val="22"/>
              </w:rPr>
              <w:t xml:space="preserve">High credit utilisation is strongly associated with an increased likelihood of credit delinquency. Customers drawing on more than 80% of available credit represent a priority intervention segment.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r>
              <w:rPr>
                <w:rFonts w:ascii="Arial" w:cs="Arial" w:eastAsia="Arial" w:hAnsi="Arial"/>
                <w:b/>
                <w:bCs/>
                <w:color w:val="2E5FA3"/>
                <w:sz w:val="18"/>
                <w:szCs w:val="18"/>
              </w:rPr>
              <w:t xml:space="preserve">Proposed Recommendation</w:t>
            </w:r>
          </w:p>
          <w:p>
            <w:r>
              <w:rPr>
                <w:rFonts w:ascii="Arial" w:cs="Arial" w:eastAsia="Arial" w:hAnsi="Arial"/>
                <w:color w:val="404040"/>
                <w:sz w:val="22"/>
                <w:szCs w:val="22"/>
              </w:rPr>
              <w:t xml:space="preserve">Implement a proactive monitoring programme that identifies customers with credit utilisation above 80% and provides targeted credit usage alerts, repayment reminders, and financial guidance before delinquency occurs.</w:t>
            </w:r>
          </w:p>
        </w:tc>
      </w:tr>
    </w:tbl>
    <w:p>
      <w:pPr>
        <w:spacing w:after="160" w:before="0"/>
      </w:pPr>
    </w:p>
    <w:p>
      <w:pPr>
        <w:pStyle w:val="Heading2"/>
        <w:spacing w:after="120" w:before="280"/>
      </w:pPr>
      <w:r>
        <w:rPr>
          <w:rFonts w:ascii="Arial" w:cs="Arial" w:eastAsia="Arial" w:hAnsi="Arial"/>
          <w:b/>
          <w:bCs/>
          <w:color w:val="2E5FA3"/>
          <w:sz w:val="26"/>
          <w:szCs w:val="26"/>
        </w:rPr>
        <w:t xml:space="preserve">4.1 SMART Framework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Specific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Target customers whose credit utilisation exceeds 80% of their available credit limit.</w:t>
            </w:r>
          </w:p>
        </w:tc>
      </w:tr>
      <w:tr>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Measurable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Reduce the number of high-utilisation customers transitioning to delinquency by 15%, tracked monthly.</w:t>
            </w:r>
          </w:p>
        </w:tc>
      </w:tr>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Actionable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Deploy automated alerts, personalised communication, and account monitoring through the collections team. Utilise existing CRM infrastructure.</w:t>
            </w:r>
          </w:p>
        </w:tc>
      </w:tr>
      <w:tr>
        <w:tc>
          <w:tcPr>
            <w:tcW w:type="dxa" w:w="14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Relevant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Directly addresses one of the strongest predictors of credit delinquency identified by the model. Aligns with collections strategy objectives.</w:t>
            </w:r>
          </w:p>
        </w:tc>
      </w:tr>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Time-bound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Achieve the reduction target within six months from implementation, with monthly progress reviews by the collections lead.</w:t>
            </w:r>
          </w:p>
        </w:tc>
      </w:tr>
    </w:tbl>
    <w:p>
      <w:pPr>
        <w:spacing w:after="160" w:before="0"/>
      </w:pPr>
    </w:p>
    <w:p>
      <w:pPr>
        <w:pStyle w:val="Heading2"/>
        <w:spacing w:after="120" w:before="280"/>
      </w:pPr>
      <w:r>
        <w:rPr>
          <w:rFonts w:ascii="Arial" w:cs="Arial" w:eastAsia="Arial" w:hAnsi="Arial"/>
          <w:b/>
          <w:bCs/>
          <w:color w:val="2E5FA3"/>
          <w:sz w:val="26"/>
          <w:szCs w:val="26"/>
        </w:rPr>
        <w:t xml:space="preserve">4.2 Business Rationale</w:t>
      </w:r>
    </w:p>
    <w:p>
      <w:pPr>
        <w:spacing w:after="120" w:before="60"/>
      </w:pPr>
      <w:r>
        <w:rPr>
          <w:rFonts w:ascii="Arial" w:cs="Arial" w:eastAsia="Arial" w:hAnsi="Arial"/>
          <w:color w:val="404040"/>
          <w:sz w:val="22"/>
          <w:szCs w:val="22"/>
        </w:rPr>
        <w:t xml:space="preserve">By focusing on customers exhibiting high credit utilisation, Geldium can intervene before delinquency occurs. The business case for this recommendation rests on four outcomes:</w:t>
      </w:r>
    </w:p>
    <w:p>
      <w:pPr>
        <w:spacing w:after="60" w:before="0"/>
      </w:pPr>
    </w:p>
    <w:p>
      <w:pPr>
        <w:pStyle w:val="ListParagraph"/>
        <w:numPr>
          <w:ilvl w:val="0"/>
          <w:numId w:val="2"/>
        </w:numPr>
        <w:spacing w:after="60" w:before="40"/>
      </w:pPr>
      <w:r>
        <w:rPr>
          <w:rFonts w:ascii="Arial" w:cs="Arial" w:eastAsia="Arial" w:hAnsi="Arial"/>
          <w:b/>
          <w:bCs/>
          <w:color w:val="404040"/>
          <w:sz w:val="22"/>
          <w:szCs w:val="22"/>
        </w:rPr>
        <w:t xml:space="preserve">Reduced Default Risk: </w:t>
      </w:r>
      <w:r>
        <w:rPr>
          <w:rFonts w:ascii="Arial" w:cs="Arial" w:eastAsia="Arial" w:hAnsi="Arial"/>
          <w:color w:val="404040"/>
          <w:sz w:val="22"/>
          <w:szCs w:val="22"/>
        </w:rPr>
        <w:t xml:space="preserve">Proactive outreach encourages responsible credit behaviour and reduces the probability of missed payments.</w:t>
      </w:r>
    </w:p>
    <w:p>
      <w:pPr>
        <w:pStyle w:val="ListParagraph"/>
        <w:numPr>
          <w:ilvl w:val="0"/>
          <w:numId w:val="2"/>
        </w:numPr>
        <w:spacing w:after="60" w:before="40"/>
      </w:pPr>
      <w:r>
        <w:rPr>
          <w:rFonts w:ascii="Arial" w:cs="Arial" w:eastAsia="Arial" w:hAnsi="Arial"/>
          <w:b/>
          <w:bCs/>
          <w:color w:val="404040"/>
          <w:sz w:val="22"/>
          <w:szCs w:val="22"/>
        </w:rPr>
        <w:t xml:space="preserve">Lower Collections Costs: </w:t>
      </w:r>
      <w:r>
        <w:rPr>
          <w:rFonts w:ascii="Arial" w:cs="Arial" w:eastAsia="Arial" w:hAnsi="Arial"/>
          <w:color w:val="404040"/>
          <w:sz w:val="22"/>
          <w:szCs w:val="22"/>
        </w:rPr>
        <w:t xml:space="preserve">Early engagement carries significantly lower cost than late-stage collections activity, reducing both agent time and legal recovery costs.</w:t>
      </w:r>
    </w:p>
    <w:p>
      <w:pPr>
        <w:pStyle w:val="ListParagraph"/>
        <w:numPr>
          <w:ilvl w:val="0"/>
          <w:numId w:val="2"/>
        </w:numPr>
        <w:spacing w:after="60" w:before="40"/>
      </w:pPr>
      <w:r>
        <w:rPr>
          <w:rFonts w:ascii="Arial" w:cs="Arial" w:eastAsia="Arial" w:hAnsi="Arial"/>
          <w:b/>
          <w:bCs/>
          <w:color w:val="404040"/>
          <w:sz w:val="22"/>
          <w:szCs w:val="22"/>
        </w:rPr>
        <w:t xml:space="preserve">Improved Portfolio Quality: </w:t>
      </w:r>
      <w:r>
        <w:rPr>
          <w:rFonts w:ascii="Arial" w:cs="Arial" w:eastAsia="Arial" w:hAnsi="Arial"/>
          <w:color w:val="404040"/>
          <w:sz w:val="22"/>
          <w:szCs w:val="22"/>
        </w:rPr>
        <w:t xml:space="preserve">Fewer delinquent accounts improves the risk profile of Geldium’s credit portfolio, supporting better capital allocation.</w:t>
      </w:r>
    </w:p>
    <w:p>
      <w:pPr>
        <w:pStyle w:val="ListParagraph"/>
        <w:numPr>
          <w:ilvl w:val="0"/>
          <w:numId w:val="2"/>
        </w:numPr>
        <w:spacing w:after="60" w:before="40"/>
      </w:pPr>
      <w:r>
        <w:rPr>
          <w:rFonts w:ascii="Arial" w:cs="Arial" w:eastAsia="Arial" w:hAnsi="Arial"/>
          <w:b/>
          <w:bCs/>
          <w:color w:val="404040"/>
          <w:sz w:val="22"/>
          <w:szCs w:val="22"/>
        </w:rPr>
        <w:t xml:space="preserve">Efficient Resource Allocation: </w:t>
      </w:r>
      <w:r>
        <w:rPr>
          <w:rFonts w:ascii="Arial" w:cs="Arial" w:eastAsia="Arial" w:hAnsi="Arial"/>
          <w:color w:val="404040"/>
          <w:sz w:val="22"/>
          <w:szCs w:val="22"/>
        </w:rPr>
        <w:t xml:space="preserve">Prioritising customers with the greatest probability of future delinquency ensures collections resource is deployed where it has the highest expected return.</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5. Ethical &amp; Responsible AI Considerations</w:t>
      </w:r>
    </w:p>
    <w:p>
      <w:pPr>
        <w:spacing w:after="120" w:before="60"/>
      </w:pPr>
      <w:r>
        <w:rPr>
          <w:rFonts w:ascii="Arial" w:cs="Arial" w:eastAsia="Arial" w:hAnsi="Arial"/>
          <w:color w:val="404040"/>
          <w:sz w:val="22"/>
          <w:szCs w:val="22"/>
        </w:rPr>
        <w:t xml:space="preserve">The predictive model provides valuable insights for risk management; however, responsible deployment of AI in financial services is essential to ensure fairness, transparency, and customer trust. The following framework identifies key risks and mitigation strategies.</w:t>
      </w:r>
    </w:p>
    <w:p>
      <w:pPr>
        <w:spacing w:after="80" w:before="0"/>
      </w:pPr>
    </w:p>
    <w:p>
      <w:pPr>
        <w:pStyle w:val="Heading2"/>
        <w:spacing w:after="120" w:before="280"/>
      </w:pPr>
      <w:r>
        <w:rPr>
          <w:rFonts w:ascii="Arial" w:cs="Arial" w:eastAsia="Arial" w:hAnsi="Arial"/>
          <w:b/>
          <w:bCs/>
          <w:color w:val="2E5FA3"/>
          <w:sz w:val="26"/>
          <w:szCs w:val="26"/>
        </w:rPr>
        <w:t xml:space="preserve">5.1 Fairness Risk: Bias Against Customer Groups</w:t>
      </w:r>
    </w:p>
    <w:p>
      <w:pPr>
        <w:pBdr>
          <w:left w:val="single" w:color="F4B942" w:sz="16"/>
        </w:pBdr>
        <w:shd w:fill="FFF2CC" w:val="clear"/>
        <w:spacing w:after="60" w:before="60"/>
        <w:ind w:left="200" w:right="200"/>
      </w:pPr>
      <w:r>
        <w:rPr>
          <w:rFonts w:ascii="Arial" w:cs="Arial" w:eastAsia="Arial" w:hAnsi="Arial"/>
          <w:color w:val="404040"/>
          <w:sz w:val="20"/>
          <w:szCs w:val="20"/>
        </w:rPr>
        <w:t xml:space="preserve">⚠ Risk: The model may unintentionally classify customers from specific age, income, or employment groups as higher risk, leading to unfair or discriminatory outcomes.</w:t>
      </w:r>
    </w:p>
    <w:p>
      <w:pPr>
        <w:spacing w:after="80" w:before="0"/>
      </w:pPr>
    </w:p>
    <w:p>
      <w:pPr>
        <w:pStyle w:val="Heading3"/>
        <w:spacing w:after="80" w:before="200"/>
      </w:pPr>
      <w:r>
        <w:rPr>
          <w:rFonts w:ascii="Arial" w:cs="Arial" w:eastAsia="Arial" w:hAnsi="Arial"/>
          <w:b/>
          <w:bCs/>
          <w:color w:val="404040"/>
          <w:sz w:val="22"/>
          <w:szCs w:val="22"/>
        </w:rPr>
        <w:t xml:space="preserve">Mitigation Strategy</w:t>
      </w:r>
    </w:p>
    <w:p>
      <w:pPr>
        <w:pStyle w:val="ListParagraph"/>
        <w:numPr>
          <w:ilvl w:val="0"/>
          <w:numId w:val="2"/>
        </w:numPr>
        <w:spacing w:after="60" w:before="40"/>
      </w:pPr>
      <w:r>
        <w:rPr>
          <w:rFonts w:ascii="Arial" w:cs="Arial" w:eastAsia="Arial" w:hAnsi="Arial"/>
          <w:color w:val="404040"/>
          <w:sz w:val="22"/>
          <w:szCs w:val="22"/>
        </w:rPr>
        <w:t xml:space="preserve">Conduct regular fairness audits across customer demographic segments (age, income band, employment status, location).</w:t>
      </w:r>
    </w:p>
    <w:p>
      <w:pPr>
        <w:pStyle w:val="ListParagraph"/>
        <w:numPr>
          <w:ilvl w:val="0"/>
          <w:numId w:val="2"/>
        </w:numPr>
        <w:spacing w:after="60" w:before="40"/>
      </w:pPr>
      <w:r>
        <w:rPr>
          <w:rFonts w:ascii="Arial" w:cs="Arial" w:eastAsia="Arial" w:hAnsi="Arial"/>
          <w:color w:val="404040"/>
          <w:sz w:val="22"/>
          <w:szCs w:val="22"/>
        </w:rPr>
        <w:t xml:space="preserve">Compare prediction outcomes and intervention rates across demographic groups to detect disparate impact.</w:t>
      </w:r>
    </w:p>
    <w:p>
      <w:pPr>
        <w:pStyle w:val="ListParagraph"/>
        <w:numPr>
          <w:ilvl w:val="0"/>
          <w:numId w:val="2"/>
        </w:numPr>
        <w:spacing w:after="60" w:before="40"/>
      </w:pPr>
      <w:r>
        <w:rPr>
          <w:rFonts w:ascii="Arial" w:cs="Arial" w:eastAsia="Arial" w:hAnsi="Arial"/>
          <w:color w:val="404040"/>
          <w:sz w:val="22"/>
          <w:szCs w:val="22"/>
        </w:rPr>
        <w:t xml:space="preserve">Review and adjust model features that may introduce proxy bias (e.g. location as a proxy for ethnicity).</w:t>
      </w:r>
    </w:p>
    <w:p>
      <w:pPr>
        <w:spacing w:after="80" w:before="0"/>
      </w:pPr>
    </w:p>
    <w:p>
      <w:pPr>
        <w:pStyle w:val="Heading2"/>
        <w:spacing w:after="120" w:before="280"/>
      </w:pPr>
      <w:r>
        <w:rPr>
          <w:rFonts w:ascii="Arial" w:cs="Arial" w:eastAsia="Arial" w:hAnsi="Arial"/>
          <w:b/>
          <w:bCs/>
          <w:color w:val="2E5FA3"/>
          <w:sz w:val="26"/>
          <w:szCs w:val="26"/>
        </w:rPr>
        <w:t xml:space="preserve">5.2 Fairness Risk: Lack of Transparency</w:t>
      </w:r>
    </w:p>
    <w:p>
      <w:pPr>
        <w:pBdr>
          <w:left w:val="single" w:color="F4B942" w:sz="16"/>
        </w:pBdr>
        <w:shd w:fill="FFF2CC" w:val="clear"/>
        <w:spacing w:after="60" w:before="60"/>
        <w:ind w:left="200" w:right="200"/>
      </w:pPr>
      <w:r>
        <w:rPr>
          <w:rFonts w:ascii="Arial" w:cs="Arial" w:eastAsia="Arial" w:hAnsi="Arial"/>
          <w:color w:val="404040"/>
          <w:sz w:val="20"/>
          <w:szCs w:val="20"/>
        </w:rPr>
        <w:t xml:space="preserve">⚠ Risk: Customers may not understand why they were identified as high risk, reducing trust in Geldium’s decision-making process and potentially breaching explainability obligations.</w:t>
      </w:r>
    </w:p>
    <w:p>
      <w:pPr>
        <w:spacing w:after="80" w:before="0"/>
      </w:pPr>
    </w:p>
    <w:p>
      <w:pPr>
        <w:pStyle w:val="Heading3"/>
        <w:spacing w:after="80" w:before="200"/>
      </w:pPr>
      <w:r>
        <w:rPr>
          <w:rFonts w:ascii="Arial" w:cs="Arial" w:eastAsia="Arial" w:hAnsi="Arial"/>
          <w:b/>
          <w:bCs/>
          <w:color w:val="404040"/>
          <w:sz w:val="22"/>
          <w:szCs w:val="22"/>
        </w:rPr>
        <w:t xml:space="preserve">Mitigation Strategy</w:t>
      </w:r>
    </w:p>
    <w:p>
      <w:pPr>
        <w:pStyle w:val="ListParagraph"/>
        <w:numPr>
          <w:ilvl w:val="0"/>
          <w:numId w:val="2"/>
        </w:numPr>
        <w:spacing w:after="60" w:before="40"/>
      </w:pPr>
      <w:r>
        <w:rPr>
          <w:rFonts w:ascii="Arial" w:cs="Arial" w:eastAsia="Arial" w:hAnsi="Arial"/>
          <w:color w:val="404040"/>
          <w:sz w:val="22"/>
          <w:szCs w:val="22"/>
        </w:rPr>
        <w:t xml:space="preserve">Use inherently interpretable models such as Logistic Regression for customer-facing decisions where explainability is required.</w:t>
      </w:r>
    </w:p>
    <w:p>
      <w:pPr>
        <w:pStyle w:val="ListParagraph"/>
        <w:numPr>
          <w:ilvl w:val="0"/>
          <w:numId w:val="2"/>
        </w:numPr>
        <w:spacing w:after="60" w:before="40"/>
      </w:pPr>
      <w:r>
        <w:rPr>
          <w:rFonts w:ascii="Arial" w:cs="Arial" w:eastAsia="Arial" w:hAnsi="Arial"/>
          <w:color w:val="404040"/>
          <w:sz w:val="22"/>
          <w:szCs w:val="22"/>
        </w:rPr>
        <w:t xml:space="preserve">Clearly communicate the factors contributing to risk predictions to affected customers where required by regulation.</w:t>
      </w:r>
    </w:p>
    <w:p>
      <w:pPr>
        <w:pStyle w:val="ListParagraph"/>
        <w:numPr>
          <w:ilvl w:val="0"/>
          <w:numId w:val="2"/>
        </w:numPr>
        <w:spacing w:after="60" w:before="40"/>
      </w:pPr>
      <w:r>
        <w:rPr>
          <w:rFonts w:ascii="Arial" w:cs="Arial" w:eastAsia="Arial" w:hAnsi="Arial"/>
          <w:color w:val="404040"/>
          <w:sz w:val="22"/>
          <w:szCs w:val="22"/>
        </w:rPr>
        <w:t xml:space="preserve">Maintain documentation of model logic, decision criteria, and version history for audit purposes.</w:t>
      </w:r>
    </w:p>
    <w:p>
      <w:pPr>
        <w:spacing w:after="80" w:before="0"/>
      </w:pPr>
    </w:p>
    <w:p>
      <w:pPr>
        <w:pStyle w:val="Heading2"/>
        <w:spacing w:after="120" w:before="280"/>
      </w:pPr>
      <w:r>
        <w:rPr>
          <w:rFonts w:ascii="Arial" w:cs="Arial" w:eastAsia="Arial" w:hAnsi="Arial"/>
          <w:b/>
          <w:bCs/>
          <w:color w:val="2E5FA3"/>
          <w:sz w:val="26"/>
          <w:szCs w:val="26"/>
        </w:rPr>
        <w:t xml:space="preserve">5.3 Responsible Financial Decision-Making</w:t>
      </w:r>
    </w:p>
    <w:p>
      <w:pPr>
        <w:spacing w:after="120" w:before="60"/>
      </w:pPr>
      <w:r>
        <w:rPr>
          <w:rFonts w:ascii="Arial" w:cs="Arial" w:eastAsia="Arial" w:hAnsi="Arial"/>
          <w:color w:val="404040"/>
          <w:sz w:val="22"/>
          <w:szCs w:val="22"/>
        </w:rPr>
        <w:t xml:space="preserve">The model should be used as a decision-support tool alongside human judgement, not as an autonomous decision-maker. Specific governance requirements:</w:t>
      </w:r>
    </w:p>
    <w:p>
      <w:pPr>
        <w:spacing w:after="60" w:before="0"/>
      </w:pPr>
    </w:p>
    <w:p>
      <w:pPr>
        <w:pStyle w:val="ListParagraph"/>
        <w:numPr>
          <w:ilvl w:val="0"/>
          <w:numId w:val="2"/>
        </w:numPr>
        <w:spacing w:after="60" w:before="40"/>
      </w:pPr>
      <w:r>
        <w:rPr>
          <w:rFonts w:ascii="Arial" w:cs="Arial" w:eastAsia="Arial" w:hAnsi="Arial"/>
          <w:color w:val="404040"/>
          <w:sz w:val="22"/>
          <w:szCs w:val="22"/>
        </w:rPr>
        <w:t xml:space="preserve">All automated interventions triggered by the model must be reviewed by a qualified collections officer before customer contact.</w:t>
      </w:r>
    </w:p>
    <w:p>
      <w:pPr>
        <w:pStyle w:val="ListParagraph"/>
        <w:numPr>
          <w:ilvl w:val="0"/>
          <w:numId w:val="2"/>
        </w:numPr>
        <w:spacing w:after="60" w:before="40"/>
      </w:pPr>
      <w:r>
        <w:rPr>
          <w:rFonts w:ascii="Arial" w:cs="Arial" w:eastAsia="Arial" w:hAnsi="Arial"/>
          <w:color w:val="404040"/>
          <w:sz w:val="22"/>
          <w:szCs w:val="22"/>
        </w:rPr>
        <w:t xml:space="preserve">The model must comply with applicable data privacy regulations, including GDPR obligations on automated decision-making.</w:t>
      </w:r>
    </w:p>
    <w:p>
      <w:pPr>
        <w:pStyle w:val="ListParagraph"/>
        <w:numPr>
          <w:ilvl w:val="0"/>
          <w:numId w:val="2"/>
        </w:numPr>
        <w:spacing w:after="60" w:before="40"/>
      </w:pPr>
      <w:r>
        <w:rPr>
          <w:rFonts w:ascii="Arial" w:cs="Arial" w:eastAsia="Arial" w:hAnsi="Arial"/>
          <w:color w:val="404040"/>
          <w:sz w:val="22"/>
          <w:szCs w:val="22"/>
        </w:rPr>
        <w:t xml:space="preserve">Model performance must be monitored quarterly and recalibrated if predictive accuracy degrades or bias indicators shift.</w:t>
      </w:r>
    </w:p>
    <w:p>
      <w:pPr>
        <w:pStyle w:val="ListParagraph"/>
        <w:numPr>
          <w:ilvl w:val="0"/>
          <w:numId w:val="2"/>
        </w:numPr>
        <w:spacing w:after="60" w:before="40"/>
      </w:pPr>
      <w:r>
        <w:rPr>
          <w:rFonts w:ascii="Arial" w:cs="Arial" w:eastAsia="Arial" w:hAnsi="Arial"/>
          <w:color w:val="404040"/>
          <w:sz w:val="22"/>
          <w:szCs w:val="22"/>
        </w:rPr>
        <w:t xml:space="preserve">Intervention strategies must be restorative and supportive in nature — not punitive. The goal is to help customers avoid delinquency, not to penalise predicted risk.</w:t>
      </w:r>
    </w:p>
    <w:p>
      <w:pPr>
        <w:spacing w:after="80" w:before="0"/>
      </w:pPr>
    </w:p>
    <w:p>
      <w:pPr>
        <w:pBdr>
          <w:left w:val="single" w:color="2E5FA3" w:sz="16"/>
        </w:pBdr>
        <w:shd w:fill="D6E4F0" w:val="clear"/>
        <w:spacing w:after="60" w:before="60"/>
        <w:ind w:left="200" w:right="200"/>
      </w:pPr>
      <w:r>
        <w:rPr>
          <w:rFonts w:ascii="Arial" w:cs="Arial" w:eastAsia="Arial" w:hAnsi="Arial"/>
          <w:i/>
          <w:iCs/>
          <w:color w:val="404040"/>
          <w:sz w:val="20"/>
          <w:szCs w:val="20"/>
        </w:rPr>
        <w:t xml:space="preserve">By combining predictive analytics with ethical safeguards, Geldium can improve collections performance while maintaining fairness, transparency, and customer confidence.</w:t>
      </w:r>
    </w:p>
    <w:p>
      <w:r>
        <w:br w:type="page"/>
      </w:r>
    </w:p>
    <w:p>
      <w:pPr>
        <w:pStyle w:val="Heading1"/>
        <w:pBdr>
          <w:bottom w:val="single" w:color="2E5FA3" w:sz="8" w:space="6"/>
        </w:pBdr>
        <w:spacing w:after="160" w:before="400"/>
      </w:pPr>
      <w:r>
        <w:rPr>
          <w:rFonts w:ascii="Arial" w:cs="Arial" w:eastAsia="Arial" w:hAnsi="Arial"/>
          <w:b/>
          <w:bCs/>
          <w:color w:val="1F3864"/>
          <w:sz w:val="32"/>
          <w:szCs w:val="32"/>
        </w:rPr>
        <w:t xml:space="preserve">6. Next Steps &amp; Recommended Actions</w:t>
      </w:r>
    </w:p>
    <w:p>
      <w:pPr>
        <w:spacing w:after="120" w:before="60"/>
      </w:pPr>
      <w:r>
        <w:rPr>
          <w:rFonts w:ascii="Arial" w:cs="Arial" w:eastAsia="Arial" w:hAnsi="Arial"/>
          <w:color w:val="404040"/>
          <w:sz w:val="22"/>
          <w:szCs w:val="22"/>
        </w:rPr>
        <w:t xml:space="preserve">The following action plan translates EDA findings and modelling insights into concrete implementation steps for the collections and data science teams.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600"/>
        <w:gridCol w:w="2800"/>
      </w:tblGrid>
      <w:tr>
        <w:tc>
          <w:tcPr>
            <w:tcW w:type="dxa" w:w="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 / Timeline</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Apply all data quality fixes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Normalise Employment_Status, run MICE on Loan_Balance, group-median on Income, cap Credit_Utilization. Confirm zero missing values before proceeding.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Engineering — Week 1–2</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Feature engineering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Derive miss_count_6m, late_count_6m, recent_miss_streak, and payment_volatility from the six monthly payment columns. Band Account_Tenure. Create DTI threshold indicators.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Science — Week 2–3</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Investigate Missed_Payments field definition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Confirm the time window and source system definition of Missed_Payments. The near-zero correlation with miss_count_6m (r = 0.007) indicates a definitional inconsistency that must be resolved.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Governance — Week 2</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Model selection &amp; training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Implement XGBoost, Random Forest, and LightGBM to capture non-linear relationships. Apply class weights or SMOTE to address the 84/16 imbalance.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Science — Week 3–5</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Set evaluation framework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Use stratified cross-validation, F1-score, and AUC-PR as primary metrics. Do not use accuracy. Establish baseline thresholds before production sign-off.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Science — Week 5</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Deploy proactive utilisation monitoring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Implement automated alerts and personalised communications for customers with utilisation above 80%. Integrate with CRM and collections workflow.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Collections &amp; Tech — Month 2</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Validate on larger dataset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Validate all findings on a dataset of at least 2,000 records with 300+ positive cases. Chi-square results are non-significant at current sample size.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Data Science — Month 3–4</w:t>
            </w:r>
          </w:p>
        </w:tc>
      </w:tr>
      <w:tr>
        <w:tc>
          <w:tcPr>
            <w:tcW w:type="dxa" w:w="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Ethical AI review</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Conduct fairness audit across demographic segments. Establish model documentation for audit trail. Review against GDPR automated decision-making obligations.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Risk &amp; Compliance — Month 2</w:t>
            </w:r>
          </w:p>
        </w:tc>
      </w:tr>
    </w:tbl>
    <w:p>
      <w:pPr>
        <w:spacing w:after="200" w:before="0"/>
      </w:pPr>
    </w:p>
    <w:p>
      <w:pPr>
        <w:pStyle w:val="Heading1"/>
        <w:pBdr>
          <w:bottom w:val="single" w:color="2E5FA3" w:sz="8" w:space="6"/>
        </w:pBdr>
        <w:spacing w:after="160" w:before="400"/>
      </w:pPr>
      <w:r>
        <w:rPr>
          <w:rFonts w:ascii="Arial" w:cs="Arial" w:eastAsia="Arial" w:hAnsi="Arial"/>
          <w:b/>
          <w:bCs/>
          <w:color w:val="1F3864"/>
          <w:sz w:val="32"/>
          <w:szCs w:val="32"/>
        </w:rPr>
        <w:t xml:space="preserve">Appendix: AI &amp; GenAI Usage Disclosure</w:t>
      </w:r>
    </w:p>
    <w:p>
      <w:pPr>
        <w:spacing w:after="120" w:before="60"/>
      </w:pPr>
      <w:r>
        <w:rPr>
          <w:rFonts w:ascii="Arial" w:cs="Arial" w:eastAsia="Arial" w:hAnsi="Arial"/>
          <w:color w:val="404040"/>
          <w:sz w:val="22"/>
          <w:szCs w:val="22"/>
        </w:rPr>
        <w:t xml:space="preserve">Generative AI tools were used throughout this project to accelerate data profiling, determine imputation strategies, surface risk patterns, and assist in report drafting. All AI outputs were reviewed and validated against the underlying data before inclusion.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Claude (Anthropic) — Sonnet 4.6</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Conversational analysis, statistical interpretation, imputation strategy recommendation, and report drafting across all analytical steps.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404040"/>
                <w:sz w:val="20"/>
                <w:szCs w:val="20"/>
              </w:rPr>
              <w:t xml:space="preserve">Python (pandas, scipy, scikit-learn)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20"/>
                <w:szCs w:val="20"/>
              </w:rPr>
              <w:t xml:space="preserve">All quantitative analysis including t-tests, chi-square tests, point-biserial correlations, MICE imputation, and descriptive statistics.</w:t>
            </w:r>
          </w:p>
        </w:tc>
      </w:tr>
    </w:tbl>
    <w:p>
      <w:pPr>
        <w:spacing w:after="120" w:before="0"/>
      </w:pPr>
    </w:p>
    <w:p>
      <w:pPr>
        <w:spacing w:after="120" w:before="60"/>
      </w:pPr>
      <w:r>
        <w:rPr>
          <w:rFonts w:ascii="Arial" w:cs="Arial" w:eastAsia="Arial" w:hAnsi="Arial"/>
          <w:color w:val="404040"/>
          <w:sz w:val="22"/>
          <w:szCs w:val="22"/>
        </w:rPr>
        <w:t xml:space="preserve">Example AI prompts used during analysis included: statistical interpretation of missing data mechanisms; imputation strategy selection based on industry best practices; non-linear risk pattern identification; and data quality anomaly detection. All outputs were independently verified against raw data before inclusion in this report.</w:t>
      </w:r>
    </w:p>
    <w:p>
      <w:pPr>
        <w:spacing w:after="200" w:before="0"/>
      </w:pPr>
    </w:p>
    <w:p>
      <w:pPr>
        <w:pBdr>
          <w:top w:val="single" w:color="2E5FA3" w:sz="4" w:space="6"/>
        </w:pBdr>
        <w:spacing w:after="60" w:before="120"/>
        <w:jc w:val="center"/>
      </w:pPr>
      <w:r>
        <w:rPr>
          <w:rFonts w:ascii="Arial" w:cs="Arial" w:eastAsia="Arial" w:hAnsi="Arial"/>
          <w:color w:val="666666"/>
          <w:sz w:val="16"/>
          <w:szCs w:val="16"/>
        </w:rPr>
        <w:t xml:space="preserve">Geldium Financial Services  |  Delinquency Risk &amp; Collections Strategy Report  |  June 2026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after="0" w:before="80"/>
    </w:pPr>
    <w:r>
      <w:rPr>
        <w:rFonts w:ascii="Arial" w:cs="Arial" w:eastAsia="Arial" w:hAnsi="Arial"/>
        <w:color w:val="666666"/>
        <w:sz w:val="16"/>
        <w:szCs w:val="16"/>
      </w:rPr>
      <w:t xml:space="preserve">Geldium Financial Services  © June 2026</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80" w:before="0"/>
    </w:pPr>
    <w:r>
      <w:rPr>
        <w:rFonts w:ascii="Arial" w:cs="Arial" w:eastAsia="Arial" w:hAnsi="Arial"/>
        <w:color w:val="666666"/>
        <w:sz w:val="16"/>
        <w:szCs w:val="16"/>
      </w:rPr>
      <w:t xml:space="preserve">GELDIUM FINANCIAL SERVICES  |  DELINQUENCY RISK &amp; COLLECTIONS STRATEGY REPORT</w:t>
    </w:r>
    <w:r>
      <w:rPr>
        <w:rFonts w:ascii="Arial" w:cs="Arial" w:eastAsia="Arial" w:hAnsi="Arial"/>
        <w:b/>
        <w:bCs/>
        <w:color w:val="C0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2026-06-15T07:42:20.182Z</dcterms:created>
  <dcterms:modified xsi:type="dcterms:W3CDTF">2026-06-15T07:42:20.182Z</dcterms:modified>
</cp:coreProperties>
</file>

<file path=docProps/custom.xml><?xml version="1.0" encoding="utf-8"?>
<Properties xmlns="http://schemas.openxmlformats.org/officeDocument/2006/custom-properties" xmlns:vt="http://schemas.openxmlformats.org/officeDocument/2006/docPropsVTypes"/>
</file>