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Shrinkage (%)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RSE (%)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Structural model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 (1/h)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order absorption rate 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[1.36, 1.75]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[58.2, 64.9]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[2.86, 3.25]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V3/F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exp(θ₄)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peripheral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[64.9, 69.9]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exp(θ₅)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intercompartmental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[3.38, 3.88]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3.54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absorption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0.221 [CV%=49.7]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[0.117, 0.324]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0.0827 [CV%=29.4]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[0.0634, 0.102]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0.169 [CV%=42.9]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[0.130, 0.208]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covariance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V2/F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0.0690 [Corr=0.511]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[0.0299, 0.108]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 [Corr=0.694]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[0.0878, 0.180]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0.0735 [Corr=0.622]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[0.0528, 0.0942]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Residual variance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Σ(₁,₁)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0.0399 [CV%=20.0]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[0.0375, 0.0423]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3.07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CI: confidence intervals [2.5, 97.5]; Corr: correlation coefficient; CV: coefficient of variation; RSE: relative standard error; SE: standard error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Parameters estimated in the log-domain were back-transformed for clarity.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Confidence intervals = estimate ± 1.96 ⋅ SE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log-normal omegas = sqrt(exp(estimate) - 1)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sigma = sqrt(estimate)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parameter-table-base.R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results/table/102/102-pk-params.docx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2024-12-19T15:11:25Z</dcterms:created>
  <dcterms:modified xsi:type="dcterms:W3CDTF">2024-12-19T10:11:25Z</dcterms:modified>
  <cp:lastModifiedBy>kylem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